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03" w:rsidRDefault="00875D00" w:rsidP="00875D00">
      <w:pPr>
        <w:jc w:val="center"/>
        <w:rPr>
          <w:rFonts w:ascii="Times New Roman" w:hAnsi="Times New Roman" w:cs="Times New Roman"/>
          <w:b/>
          <w:sz w:val="24"/>
          <w:szCs w:val="24"/>
        </w:rPr>
      </w:pPr>
      <w:r w:rsidRPr="00875D00">
        <w:rPr>
          <w:rFonts w:ascii="Times New Roman" w:hAnsi="Times New Roman" w:cs="Times New Roman"/>
          <w:b/>
          <w:sz w:val="24"/>
          <w:szCs w:val="24"/>
        </w:rPr>
        <w:t>SANAYİDE BİRİM ÜCRET ENDEKSİ – METAVERİ</w:t>
      </w:r>
    </w:p>
    <w:p w:rsidR="00875D00" w:rsidRDefault="00875D00" w:rsidP="00875D00">
      <w:pPr>
        <w:rPr>
          <w:rFonts w:ascii="Times New Roman" w:hAnsi="Times New Roman" w:cs="Times New Roman"/>
          <w:b/>
          <w:sz w:val="24"/>
          <w:szCs w:val="24"/>
        </w:rPr>
      </w:pPr>
    </w:p>
    <w:p w:rsidR="00875D00" w:rsidRDefault="00875D00" w:rsidP="00875D00">
      <w:pPr>
        <w:jc w:val="both"/>
        <w:rPr>
          <w:b/>
        </w:rPr>
      </w:pPr>
      <w:r w:rsidRPr="00875D00">
        <w:rPr>
          <w:b/>
        </w:rPr>
        <w:t>Amaç ve Tanımlar</w:t>
      </w:r>
    </w:p>
    <w:p w:rsidR="00332402" w:rsidRDefault="00875D00" w:rsidP="00332402">
      <w:pPr>
        <w:jc w:val="both"/>
        <w:rPr>
          <w:b/>
          <w:highlight w:val="yellow"/>
        </w:rPr>
      </w:pPr>
      <w:r w:rsidRPr="00945A83">
        <w:rPr>
          <w:b/>
        </w:rPr>
        <w:t xml:space="preserve">Amaç: </w:t>
      </w:r>
      <w:r w:rsidR="00332402" w:rsidRPr="00945A83">
        <w:t xml:space="preserve">Birim </w:t>
      </w:r>
      <w:r w:rsidR="00945A83" w:rsidRPr="00945A83">
        <w:t>ücret</w:t>
      </w:r>
      <w:r w:rsidR="00332402" w:rsidRPr="00945A83">
        <w:t xml:space="preserve"> </w:t>
      </w:r>
      <w:r w:rsidR="00945A83" w:rsidRPr="00945A83">
        <w:t>endeksi</w:t>
      </w:r>
      <w:r w:rsidR="00332402" w:rsidRPr="00945A83">
        <w:t xml:space="preserve"> genellikle (uluslararası) fiyat rekabet gücünün geniş bir ölçüsü olarak </w:t>
      </w:r>
      <w:r w:rsidR="00945A83" w:rsidRPr="00945A83">
        <w:t>görülmektedir</w:t>
      </w:r>
      <w:r w:rsidR="00332402" w:rsidRPr="00945A83">
        <w:t xml:space="preserve">. Üretilen çıktı birimi başına ortalama emek maliyeti olarak tanımlanır. Çalışılan saat başına toplam </w:t>
      </w:r>
      <w:r w:rsidR="00945A83" w:rsidRPr="00945A83">
        <w:t>işgücü maliyetinin</w:t>
      </w:r>
      <w:r w:rsidR="00332402" w:rsidRPr="00945A83">
        <w:t xml:space="preserve"> çalışılan saat başına çıktıya (</w:t>
      </w:r>
      <w:r w:rsidR="00945A83" w:rsidRPr="00945A83">
        <w:t>işgücü</w:t>
      </w:r>
      <w:r w:rsidR="00332402" w:rsidRPr="00945A83">
        <w:t xml:space="preserve"> verimliliği) oranı olarak ifade </w:t>
      </w:r>
      <w:r w:rsidR="00945A83" w:rsidRPr="00945A83">
        <w:t>edilmektedir</w:t>
      </w:r>
      <w:r w:rsidR="00332402" w:rsidRPr="00945A83">
        <w:t>.</w:t>
      </w:r>
    </w:p>
    <w:p w:rsidR="00875D00" w:rsidRDefault="00875D00" w:rsidP="00875D00">
      <w:pPr>
        <w:jc w:val="both"/>
      </w:pPr>
      <w:r w:rsidRPr="00945A83">
        <w:rPr>
          <w:b/>
        </w:rPr>
        <w:t xml:space="preserve">Tanımlar: </w:t>
      </w:r>
      <w:r w:rsidR="00FE2308" w:rsidRPr="00FE2308">
        <w:t>S</w:t>
      </w:r>
      <w:r w:rsidR="00945A83" w:rsidRPr="00945A83">
        <w:t>anayide birim ücret endeksi</w:t>
      </w:r>
      <w:r w:rsidRPr="00945A83">
        <w:t xml:space="preserve"> </w:t>
      </w:r>
      <w:r w:rsidR="00945A83">
        <w:t>beş</w:t>
      </w:r>
      <w:r w:rsidRPr="00945A83">
        <w:t xml:space="preserve"> temel </w:t>
      </w:r>
      <w:r w:rsidR="00945A83" w:rsidRPr="00945A83">
        <w:t>istatistikten</w:t>
      </w:r>
      <w:r w:rsidRPr="00945A83">
        <w:t xml:space="preserve"> oluşmaktadır.</w:t>
      </w:r>
      <w:r>
        <w:t xml:space="preserve"> </w:t>
      </w:r>
    </w:p>
    <w:p w:rsidR="00945A83" w:rsidRDefault="00945A83" w:rsidP="00875D00">
      <w:pPr>
        <w:jc w:val="both"/>
        <w:rPr>
          <w:b/>
        </w:rPr>
      </w:pPr>
      <w:r w:rsidRPr="00945A83">
        <w:rPr>
          <w:b/>
        </w:rPr>
        <w:t xml:space="preserve">Çalışılan Saat: </w:t>
      </w:r>
      <w:r w:rsidRPr="00945A83">
        <w:t xml:space="preserve">Ücretli çalışanların temel ücret ve maaşına konu olan normal çalışma süresi ne olursa olsun işyerinde fiilen çalışılan süredir. Ücret karşılığı olan ve olmayan fazla çalışma ve fazla sürelerle çalışma süreleri, çalışılan saate </w:t>
      </w:r>
      <w:proofErr w:type="gramStart"/>
      <w:r w:rsidRPr="00945A83">
        <w:t>dahil</w:t>
      </w:r>
      <w:proofErr w:type="gramEnd"/>
      <w:r w:rsidRPr="00945A83">
        <w:t xml:space="preserve"> edilirken, yıllık izin, resmi tatil gibi ücreti ödendiği halde çalışılmayan süreler çalışılan saatten hariç tutulur.</w:t>
      </w:r>
    </w:p>
    <w:p w:rsidR="00875D00" w:rsidRDefault="00945A83" w:rsidP="00875D00">
      <w:pPr>
        <w:jc w:val="both"/>
      </w:pPr>
      <w:r>
        <w:rPr>
          <w:b/>
        </w:rPr>
        <w:t>Saatlik işgücü verimi</w:t>
      </w:r>
      <w:r w:rsidR="00875D00" w:rsidRPr="00875D00">
        <w:rPr>
          <w:b/>
        </w:rPr>
        <w:t>:</w:t>
      </w:r>
      <w:r w:rsidR="00875D00" w:rsidRPr="00875D00">
        <w:t xml:space="preserve"> Brüt çıktının miktar endeksinin, işgücü girdisinin (çalışılan</w:t>
      </w:r>
      <w:r w:rsidR="00875D00">
        <w:t xml:space="preserve"> </w:t>
      </w:r>
      <w:r w:rsidR="00875D00" w:rsidRPr="00875D00">
        <w:t>saat) miktar endeksine oranıdır.</w:t>
      </w:r>
      <w:r w:rsidR="00875D00">
        <w:t xml:space="preserve"> </w:t>
      </w:r>
    </w:p>
    <w:p w:rsidR="00945A83" w:rsidRDefault="00945A83" w:rsidP="00875D00">
      <w:pPr>
        <w:jc w:val="both"/>
        <w:rPr>
          <w:b/>
        </w:rPr>
      </w:pPr>
      <w:r w:rsidRPr="00945A83">
        <w:rPr>
          <w:b/>
        </w:rPr>
        <w:t xml:space="preserve">Saatlik İşgücü Maliyeti: </w:t>
      </w:r>
      <w:r w:rsidRPr="00945A83">
        <w:t>İşveren tarafından ücretli çalışan istihdamına ilişkin olarak katlanılan kazanç ve kazanç dışı işgücü maliyetini kapsar. Mesleki eğitim, işe alma, iş elbisesi maliyetleri gibi diğer işgücü maliyeti kalemlerini kapsamaz.</w:t>
      </w:r>
    </w:p>
    <w:p w:rsidR="00945A83" w:rsidRDefault="00945A83" w:rsidP="00875D00">
      <w:pPr>
        <w:jc w:val="both"/>
      </w:pPr>
      <w:r w:rsidRPr="00945A83">
        <w:rPr>
          <w:b/>
        </w:rPr>
        <w:t>Nominal Birim Ücret Endeksi:</w:t>
      </w:r>
      <w:r>
        <w:t xml:space="preserve"> Saatlik işgücü maliyet</w:t>
      </w:r>
      <w:r w:rsidRPr="00945A83">
        <w:t xml:space="preserve"> endeksinin, </w:t>
      </w:r>
      <w:r>
        <w:t>saatlik işgücü verimi</w:t>
      </w:r>
      <w:r w:rsidRPr="00945A83">
        <w:t xml:space="preserve"> endeksine oranıdır.</w:t>
      </w:r>
    </w:p>
    <w:p w:rsidR="00945A83" w:rsidRDefault="00945A83" w:rsidP="00875D00">
      <w:pPr>
        <w:jc w:val="both"/>
      </w:pPr>
      <w:r>
        <w:rPr>
          <w:b/>
        </w:rPr>
        <w:t>Reel</w:t>
      </w:r>
      <w:r w:rsidRPr="00945A83">
        <w:rPr>
          <w:b/>
        </w:rPr>
        <w:t xml:space="preserve"> Birim Ücret Endeksi:</w:t>
      </w:r>
      <w:r>
        <w:rPr>
          <w:b/>
        </w:rPr>
        <w:t xml:space="preserve"> </w:t>
      </w:r>
      <w:r w:rsidRPr="00945A83">
        <w:t>Nominal birim ücret endeksi</w:t>
      </w:r>
      <w:r>
        <w:t>nin Tüketici Fiyat Endeksi (TÜFE), Dolar endeksi veya Euro endeksine bölünerek elde edilen endekstir.</w:t>
      </w:r>
    </w:p>
    <w:p w:rsidR="00875D00" w:rsidRPr="00875D00" w:rsidRDefault="00875D00" w:rsidP="00875D00">
      <w:pPr>
        <w:jc w:val="both"/>
        <w:rPr>
          <w:b/>
        </w:rPr>
      </w:pPr>
      <w:r w:rsidRPr="00875D00">
        <w:rPr>
          <w:b/>
        </w:rPr>
        <w:t xml:space="preserve">Kapsam </w:t>
      </w:r>
    </w:p>
    <w:p w:rsidR="00875D00" w:rsidRPr="00875D00" w:rsidRDefault="00875D00" w:rsidP="00875D00">
      <w:pPr>
        <w:jc w:val="both"/>
        <w:rPr>
          <w:b/>
        </w:rPr>
      </w:pPr>
      <w:r w:rsidRPr="00875D00">
        <w:rPr>
          <w:b/>
        </w:rPr>
        <w:t xml:space="preserve">Sektörel Kapsam </w:t>
      </w:r>
    </w:p>
    <w:p w:rsidR="00CF5470" w:rsidRDefault="00FE2308" w:rsidP="00CF5470">
      <w:pPr>
        <w:jc w:val="both"/>
      </w:pPr>
      <w:r>
        <w:t>S</w:t>
      </w:r>
      <w:r w:rsidR="00CF5470">
        <w:t>anayide birim ücret endeksi hesaplanırken NACE Rev.2’ye göre aşağıdaki harf düzeyindeki sektörler kapsanmaktadır:</w:t>
      </w:r>
    </w:p>
    <w:p w:rsidR="00CF5470" w:rsidRDefault="00CF5470" w:rsidP="00AC3487">
      <w:pPr>
        <w:spacing w:after="0"/>
        <w:jc w:val="both"/>
      </w:pPr>
      <w:r>
        <w:t xml:space="preserve">B - Madencilik ve </w:t>
      </w:r>
      <w:proofErr w:type="spellStart"/>
      <w:r>
        <w:t>taşocakçılığı</w:t>
      </w:r>
      <w:proofErr w:type="spellEnd"/>
    </w:p>
    <w:p w:rsidR="00CF5470" w:rsidRDefault="00CF5470" w:rsidP="00AC3487">
      <w:pPr>
        <w:spacing w:after="0"/>
        <w:jc w:val="both"/>
      </w:pPr>
      <w:r>
        <w:t>C - İmalat</w:t>
      </w:r>
    </w:p>
    <w:p w:rsidR="00CF5470" w:rsidRDefault="00CF5470" w:rsidP="00AC3487">
      <w:pPr>
        <w:jc w:val="both"/>
        <w:rPr>
          <w:highlight w:val="yellow"/>
        </w:rPr>
      </w:pPr>
      <w:r>
        <w:t>E - Su temini; kanalizasyon, atık yönetimi ve iyileştirme faaliyetleri</w:t>
      </w:r>
    </w:p>
    <w:p w:rsidR="00875D00" w:rsidRPr="00875D00" w:rsidRDefault="00875D00" w:rsidP="00875D00">
      <w:pPr>
        <w:jc w:val="both"/>
        <w:rPr>
          <w:b/>
        </w:rPr>
      </w:pPr>
      <w:r w:rsidRPr="00875D00">
        <w:rPr>
          <w:b/>
        </w:rPr>
        <w:t xml:space="preserve">Zaman Kapsamı </w:t>
      </w:r>
    </w:p>
    <w:p w:rsidR="00875D00" w:rsidRDefault="00875D00" w:rsidP="00875D00">
      <w:pPr>
        <w:jc w:val="both"/>
      </w:pPr>
      <w:r w:rsidRPr="00875D00">
        <w:t>Üç aylık istatistikler 2009 yılının birinci döneminden başlayarak üç aylık dönemler itibariyle</w:t>
      </w:r>
      <w:r>
        <w:t xml:space="preserve"> </w:t>
      </w:r>
      <w:r w:rsidRPr="00875D00">
        <w:t>hesaplanmaktadır.</w:t>
      </w:r>
      <w:r>
        <w:t xml:space="preserve"> </w:t>
      </w:r>
    </w:p>
    <w:p w:rsidR="00875D00" w:rsidRPr="00875D00" w:rsidRDefault="00875D00" w:rsidP="00875D00">
      <w:pPr>
        <w:jc w:val="both"/>
        <w:rPr>
          <w:b/>
        </w:rPr>
      </w:pPr>
      <w:r w:rsidRPr="00875D00">
        <w:rPr>
          <w:b/>
        </w:rPr>
        <w:t xml:space="preserve">Coğrafi Kapsam </w:t>
      </w:r>
    </w:p>
    <w:p w:rsidR="00875D00" w:rsidRDefault="00875D00" w:rsidP="00875D00">
      <w:pPr>
        <w:jc w:val="both"/>
      </w:pPr>
      <w:r w:rsidRPr="00875D00">
        <w:t>Coğrafi kapsam olarak Türkiye genelini kapsamaktadır.</w:t>
      </w:r>
      <w:r>
        <w:t xml:space="preserve"> </w:t>
      </w:r>
    </w:p>
    <w:p w:rsidR="00CF5470" w:rsidRDefault="00CF5470">
      <w:pPr>
        <w:rPr>
          <w:b/>
        </w:rPr>
      </w:pPr>
      <w:r>
        <w:rPr>
          <w:b/>
        </w:rPr>
        <w:br w:type="page"/>
      </w:r>
    </w:p>
    <w:p w:rsidR="00875D00" w:rsidRPr="00875D00" w:rsidRDefault="00875D00" w:rsidP="00875D00">
      <w:pPr>
        <w:jc w:val="both"/>
        <w:rPr>
          <w:b/>
        </w:rPr>
      </w:pPr>
      <w:r w:rsidRPr="00875D00">
        <w:rPr>
          <w:b/>
        </w:rPr>
        <w:lastRenderedPageBreak/>
        <w:t>Veri Derleme Yöntemi</w:t>
      </w:r>
    </w:p>
    <w:p w:rsidR="00875D00" w:rsidRDefault="00875D00" w:rsidP="00875D00">
      <w:pPr>
        <w:jc w:val="both"/>
      </w:pPr>
      <w:r w:rsidRPr="00CF5470">
        <w:t xml:space="preserve">TÜİK tarafından üretilen </w:t>
      </w:r>
      <w:r w:rsidR="00CF5470" w:rsidRPr="00CF5470">
        <w:t xml:space="preserve">‘aylık sanayi üretim endeksi’, </w:t>
      </w:r>
      <w:r w:rsidRPr="00CF5470">
        <w:t xml:space="preserve">‘üç aylık sanayide çalışılan saat endeksi’ </w:t>
      </w:r>
      <w:r w:rsidR="00CF5470" w:rsidRPr="00CF5470">
        <w:t xml:space="preserve">ve ‘Tüketici fiyat endeksi’ </w:t>
      </w:r>
      <w:r w:rsidRPr="00CF5470">
        <w:t>idari kayıtları kullanılmaktadır.</w:t>
      </w:r>
      <w:r>
        <w:t xml:space="preserve"> </w:t>
      </w:r>
    </w:p>
    <w:p w:rsidR="00CF5470" w:rsidRDefault="00CF5470" w:rsidP="00875D00">
      <w:pPr>
        <w:jc w:val="both"/>
      </w:pPr>
      <w:r>
        <w:t xml:space="preserve">Ayrıca TCMB tarafından üretilen Euro ve Dolar </w:t>
      </w:r>
      <w:r w:rsidRPr="00CF5470">
        <w:t>döviz alış kurları kullanılmaktadır</w:t>
      </w:r>
      <w:r>
        <w:t>.</w:t>
      </w:r>
    </w:p>
    <w:p w:rsidR="00875D00" w:rsidRPr="00332402" w:rsidRDefault="00875D00" w:rsidP="00875D00">
      <w:pPr>
        <w:jc w:val="both"/>
        <w:rPr>
          <w:b/>
        </w:rPr>
      </w:pPr>
      <w:r w:rsidRPr="00332402">
        <w:rPr>
          <w:b/>
        </w:rPr>
        <w:t xml:space="preserve">Kullanılan </w:t>
      </w:r>
      <w:r w:rsidR="00CF5470">
        <w:rPr>
          <w:b/>
        </w:rPr>
        <w:t>Değişkenler</w:t>
      </w:r>
    </w:p>
    <w:p w:rsidR="00875D00" w:rsidRDefault="00875D00" w:rsidP="00875D00">
      <w:pPr>
        <w:jc w:val="both"/>
      </w:pPr>
      <w:r w:rsidRPr="00332402">
        <w:rPr>
          <w:b/>
        </w:rPr>
        <w:t>Sanayi üretim endeksi:</w:t>
      </w:r>
      <w:r w:rsidRPr="00875D00">
        <w:t xml:space="preserve"> Çıktı değişkeni olarak, TÜİK tarafından hesaplanan “2015 yılı </w:t>
      </w:r>
      <w:proofErr w:type="gramStart"/>
      <w:r w:rsidRPr="00875D00">
        <w:t>bazlı</w:t>
      </w:r>
      <w:proofErr w:type="gramEnd"/>
      <w:r w:rsidRPr="00875D00">
        <w:t xml:space="preserve"> aylık</w:t>
      </w:r>
      <w:r>
        <w:t xml:space="preserve"> </w:t>
      </w:r>
      <w:r w:rsidRPr="00875D00">
        <w:t>sanayi üretim endeksi” verileri kullanılmaktadır.</w:t>
      </w:r>
      <w:r>
        <w:t xml:space="preserve"> </w:t>
      </w:r>
    </w:p>
    <w:p w:rsidR="00875D00" w:rsidRDefault="00875D00" w:rsidP="00875D00">
      <w:pPr>
        <w:jc w:val="both"/>
      </w:pPr>
      <w:r w:rsidRPr="00332402">
        <w:rPr>
          <w:b/>
        </w:rPr>
        <w:t>Çalışılan saat endeksi:</w:t>
      </w:r>
      <w:r w:rsidRPr="00875D00">
        <w:t xml:space="preserve"> Çalışılan saat değişkeni olarak TÜİK tarafından hesaplanan “2015 yılı </w:t>
      </w:r>
      <w:proofErr w:type="gramStart"/>
      <w:r w:rsidRPr="00875D00">
        <w:t>bazlı</w:t>
      </w:r>
      <w:proofErr w:type="gramEnd"/>
      <w:r w:rsidRPr="00875D00">
        <w:t xml:space="preserve"> üç</w:t>
      </w:r>
      <w:r>
        <w:t xml:space="preserve"> </w:t>
      </w:r>
      <w:r w:rsidRPr="00875D00">
        <w:t>aylık sanayide çalışılan saat endeksi” verileri kullanılmaktadır.</w:t>
      </w:r>
      <w:r>
        <w:t xml:space="preserve"> </w:t>
      </w:r>
    </w:p>
    <w:p w:rsidR="00CF5470" w:rsidRPr="00CF5470" w:rsidRDefault="00CF5470" w:rsidP="00875D00">
      <w:pPr>
        <w:jc w:val="both"/>
        <w:rPr>
          <w:b/>
        </w:rPr>
      </w:pPr>
      <w:r w:rsidRPr="00CF5470">
        <w:rPr>
          <w:b/>
        </w:rPr>
        <w:t>Saatlik İşgücü Maliyeti:</w:t>
      </w:r>
      <w:r>
        <w:rPr>
          <w:b/>
        </w:rPr>
        <w:t xml:space="preserve"> </w:t>
      </w:r>
      <w:r w:rsidRPr="00CF5470">
        <w:t xml:space="preserve">İşgücü maliyet değişkeni olarak TÜİK tarafından hesaplanan işveren tarafından ücretli çalışan istihdamına ilişkin olarak katlanılan kazanç ve kazanç dışı işgücü maliyetini kapsayan “2015 yılı </w:t>
      </w:r>
      <w:proofErr w:type="gramStart"/>
      <w:r w:rsidRPr="00CF5470">
        <w:t>bazlı</w:t>
      </w:r>
      <w:proofErr w:type="gramEnd"/>
      <w:r w:rsidRPr="00CF5470">
        <w:t xml:space="preserve"> üç aylık sanayide saatlik işgücü maliyeti endeksi” verileri kullanılmaktadır.</w:t>
      </w:r>
    </w:p>
    <w:p w:rsidR="00CF5470" w:rsidRDefault="00CF5470" w:rsidP="00875D00">
      <w:pPr>
        <w:jc w:val="both"/>
      </w:pPr>
      <w:r w:rsidRPr="00C36000">
        <w:rPr>
          <w:b/>
        </w:rPr>
        <w:t>TÜFE:</w:t>
      </w:r>
      <w:r>
        <w:t xml:space="preserve"> Nominal değişkenleri reelleştirme amacıyla TÜİK tarafından hesaplanan </w:t>
      </w:r>
      <w:r w:rsidR="00C36000">
        <w:t xml:space="preserve">“2003 yılı </w:t>
      </w:r>
      <w:proofErr w:type="gramStart"/>
      <w:r w:rsidR="00C36000">
        <w:t>bazlı</w:t>
      </w:r>
      <w:proofErr w:type="gramEnd"/>
      <w:r w:rsidR="00C36000">
        <w:t xml:space="preserve"> aylık tüketici fiyat endeksi” verileri 2015 yılı bazına dönüştürülerek kullanılmaktadır.</w:t>
      </w:r>
    </w:p>
    <w:p w:rsidR="00C36000" w:rsidRDefault="00C36000" w:rsidP="00875D00">
      <w:pPr>
        <w:jc w:val="both"/>
      </w:pPr>
      <w:r w:rsidRPr="00C36000">
        <w:rPr>
          <w:b/>
        </w:rPr>
        <w:t>Döviz Alış</w:t>
      </w:r>
      <w:r>
        <w:t xml:space="preserve">: Nominal değişkenleri reelleştirme amacıyla TCMB tarafından yayımlanan Dolar ve Euro döviz alış değerleri 2015 yılı </w:t>
      </w:r>
      <w:proofErr w:type="gramStart"/>
      <w:r>
        <w:t>bazlı</w:t>
      </w:r>
      <w:proofErr w:type="gramEnd"/>
      <w:r>
        <w:t xml:space="preserve"> seriye dönüştürülerek kullanılmaktadır.</w:t>
      </w:r>
    </w:p>
    <w:p w:rsidR="009B5335" w:rsidRPr="009B5335" w:rsidRDefault="009B5335" w:rsidP="00875D00">
      <w:pPr>
        <w:jc w:val="both"/>
        <w:rPr>
          <w:b/>
        </w:rPr>
      </w:pPr>
      <w:r w:rsidRPr="009B5335">
        <w:rPr>
          <w:b/>
        </w:rPr>
        <w:t>Kullanılan formüller</w:t>
      </w:r>
      <w:bookmarkStart w:id="0" w:name="_GoBack"/>
      <w:bookmarkEnd w:id="0"/>
    </w:p>
    <w:p w:rsidR="00875D00" w:rsidRDefault="00875D00" w:rsidP="00875D00">
      <w:pPr>
        <w:jc w:val="both"/>
      </w:pPr>
      <w:r w:rsidRPr="002C7155">
        <w:t>İstatistiklerin hesaplanmasında aşağıdaki formüller kullanılmaktadır</w:t>
      </w:r>
      <w:r w:rsidR="00332402" w:rsidRPr="002C7155">
        <w:t>:</w:t>
      </w:r>
      <w:r>
        <w:t xml:space="preserve"> </w:t>
      </w:r>
    </w:p>
    <w:p w:rsidR="002C7155" w:rsidRDefault="002C7155" w:rsidP="002C7155">
      <w:pPr>
        <w:jc w:val="both"/>
      </w:pPr>
      <w:r>
        <w:t>Saatlik İşgücü Verimi</w:t>
      </w:r>
      <w:r w:rsidR="00A62898">
        <w:t xml:space="preserve"> (</w:t>
      </w:r>
      <m:oMath>
        <m:sSub>
          <m:sSubPr>
            <m:ctrlPr>
              <w:rPr>
                <w:rFonts w:ascii="Cambria Math" w:hAnsi="Cambria Math"/>
                <w:i/>
              </w:rPr>
            </m:ctrlPr>
          </m:sSubPr>
          <m:e>
            <m:r>
              <w:rPr>
                <w:rFonts w:ascii="Cambria Math" w:hAnsi="Cambria Math"/>
              </w:rPr>
              <m:t>LP</m:t>
            </m:r>
          </m:e>
          <m:sub>
            <m:r>
              <w:rPr>
                <w:rFonts w:ascii="Cambria Math" w:hAnsi="Cambria Math"/>
              </w:rPr>
              <m:t>t</m:t>
            </m:r>
          </m:sub>
        </m:sSub>
      </m:oMath>
      <w:r w:rsidR="00A62898">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Q</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L</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LP</m:t>
                    </m:r>
                  </m:e>
                  <m:sub>
                    <m:r>
                      <w:rPr>
                        <w:rFonts w:ascii="Cambria Math" w:hAnsi="Cambria Math"/>
                        <w:sz w:val="36"/>
                      </w:rPr>
                      <m:t>2015</m:t>
                    </m:r>
                  </m:sub>
                  <m:sup>
                    <m:r>
                      <w:rPr>
                        <w:rFonts w:ascii="Cambria Math" w:hAnsi="Cambria Math"/>
                        <w:sz w:val="36"/>
                      </w:rPr>
                      <m:t>ort</m:t>
                    </m:r>
                  </m:sup>
                </m:sSubSup>
              </m:den>
            </m:f>
          </m:e>
        </m:d>
      </m:oMath>
    </w:p>
    <w:p w:rsidR="00A62898" w:rsidRDefault="00A62898" w:rsidP="00A62898">
      <w:pPr>
        <w:jc w:val="both"/>
      </w:pPr>
      <w:r>
        <w:t>Nominal Birim Ücret Endeksi (</w:t>
      </w:r>
      <m:oMath>
        <m:sSub>
          <m:sSubPr>
            <m:ctrlPr>
              <w:rPr>
                <w:rFonts w:ascii="Cambria Math" w:hAnsi="Cambria Math"/>
                <w:i/>
              </w:rPr>
            </m:ctrlPr>
          </m:sSubPr>
          <m:e>
            <m:r>
              <w:rPr>
                <w:rFonts w:ascii="Cambria Math" w:hAnsi="Cambria Math"/>
              </w:rPr>
              <m:t>NULC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LP</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NULC</m:t>
                    </m:r>
                  </m:e>
                  <m:sub>
                    <m:r>
                      <w:rPr>
                        <w:rFonts w:ascii="Cambria Math" w:hAnsi="Cambria Math"/>
                        <w:sz w:val="36"/>
                      </w:rPr>
                      <m:t>2015</m:t>
                    </m:r>
                  </m:sub>
                  <m:sup>
                    <m:r>
                      <w:rPr>
                        <w:rFonts w:ascii="Cambria Math" w:hAnsi="Cambria Math"/>
                        <w:sz w:val="36"/>
                      </w:rPr>
                      <m:t>ort</m:t>
                    </m:r>
                  </m:sup>
                </m:sSubSup>
              </m:den>
            </m:f>
          </m:e>
        </m:d>
      </m:oMath>
    </w:p>
    <w:p w:rsidR="00A62898" w:rsidRDefault="00A62898" w:rsidP="00A62898">
      <w:pPr>
        <w:jc w:val="both"/>
      </w:pPr>
      <w:r>
        <w:t>Reel Birim Ücret Endeksi-TL (</w:t>
      </w:r>
      <m:oMath>
        <m:sSub>
          <m:sSubPr>
            <m:ctrlPr>
              <w:rPr>
                <w:rFonts w:ascii="Cambria Math" w:hAnsi="Cambria Math"/>
                <w:i/>
              </w:rPr>
            </m:ctrlPr>
          </m:sSubPr>
          <m:e>
            <m:r>
              <w:rPr>
                <w:rFonts w:ascii="Cambria Math" w:hAnsi="Cambria Math"/>
              </w:rPr>
              <m:t>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NU</m:t>
                </m:r>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TUFE</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ULC</m:t>
                    </m:r>
                  </m:e>
                  <m:sub>
                    <m:r>
                      <w:rPr>
                        <w:rFonts w:ascii="Cambria Math" w:hAnsi="Cambria Math"/>
                        <w:sz w:val="36"/>
                      </w:rPr>
                      <m:t>2015</m:t>
                    </m:r>
                  </m:sub>
                  <m:sup>
                    <m:r>
                      <w:rPr>
                        <w:rFonts w:ascii="Cambria Math" w:hAnsi="Cambria Math"/>
                        <w:sz w:val="36"/>
                      </w:rPr>
                      <m:t>ort</m:t>
                    </m:r>
                  </m:sup>
                </m:sSubSup>
              </m:den>
            </m:f>
          </m:e>
        </m:d>
      </m:oMath>
    </w:p>
    <w:p w:rsidR="00A62898" w:rsidRDefault="00A62898" w:rsidP="00A62898">
      <w:pPr>
        <w:jc w:val="both"/>
      </w:pPr>
      <w:r>
        <w:t>Reel Birim Ücret Endeksi-Dolar (</w:t>
      </w:r>
      <m:oMath>
        <m:sSub>
          <m:sSubPr>
            <m:ctrlPr>
              <w:rPr>
                <w:rFonts w:ascii="Cambria Math" w:hAnsi="Cambria Math"/>
                <w:i/>
              </w:rPr>
            </m:ctrlPr>
          </m:sSubPr>
          <m:e>
            <m:r>
              <w:rPr>
                <w:rFonts w:ascii="Cambria Math" w:hAnsi="Cambria Math"/>
              </w:rPr>
              <m:t>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NU</m:t>
                </m:r>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USD</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ULC</m:t>
                    </m:r>
                  </m:e>
                  <m:sub>
                    <m:r>
                      <w:rPr>
                        <w:rFonts w:ascii="Cambria Math" w:hAnsi="Cambria Math"/>
                        <w:sz w:val="36"/>
                      </w:rPr>
                      <m:t>2015</m:t>
                    </m:r>
                  </m:sub>
                  <m:sup>
                    <m:r>
                      <w:rPr>
                        <w:rFonts w:ascii="Cambria Math" w:hAnsi="Cambria Math"/>
                        <w:sz w:val="36"/>
                      </w:rPr>
                      <m:t>ort</m:t>
                    </m:r>
                  </m:sup>
                </m:sSubSup>
              </m:den>
            </m:f>
          </m:e>
        </m:d>
      </m:oMath>
    </w:p>
    <w:p w:rsidR="00A62898" w:rsidRDefault="00A62898" w:rsidP="00A62898">
      <w:pPr>
        <w:jc w:val="both"/>
      </w:pPr>
      <w:r>
        <w:t>Reel Birim Ücret Endeksi-Euro (</w:t>
      </w:r>
      <m:oMath>
        <m:sSub>
          <m:sSubPr>
            <m:ctrlPr>
              <w:rPr>
                <w:rFonts w:ascii="Cambria Math" w:hAnsi="Cambria Math"/>
                <w:i/>
              </w:rPr>
            </m:ctrlPr>
          </m:sSubPr>
          <m:e>
            <m:r>
              <w:rPr>
                <w:rFonts w:ascii="Cambria Math" w:hAnsi="Cambria Math"/>
              </w:rPr>
              <m:t>ULC</m:t>
            </m:r>
          </m:e>
          <m:sub>
            <m:r>
              <w:rPr>
                <w:rFonts w:ascii="Cambria Math" w:hAnsi="Cambria Math"/>
              </w:rPr>
              <m:t>t</m:t>
            </m:r>
          </m:sub>
        </m:sSub>
      </m:oMath>
      <w:r>
        <w:t xml:space="preserve">) </w:t>
      </w:r>
      <m:oMath>
        <m:r>
          <w:rPr>
            <w:rFonts w:ascii="Cambria Math" w:hAnsi="Cambria Math"/>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NU</m:t>
                </m:r>
                <m:sSub>
                  <m:sSubPr>
                    <m:ctrlPr>
                      <w:rPr>
                        <w:rFonts w:ascii="Cambria Math" w:hAnsi="Cambria Math"/>
                        <w:i/>
                        <w:sz w:val="36"/>
                      </w:rPr>
                    </m:ctrlPr>
                  </m:sSubPr>
                  <m:e>
                    <m:r>
                      <w:rPr>
                        <w:rFonts w:ascii="Cambria Math" w:hAnsi="Cambria Math"/>
                        <w:sz w:val="36"/>
                      </w:rPr>
                      <m:t>LC</m:t>
                    </m:r>
                  </m:e>
                  <m:sub>
                    <m:r>
                      <w:rPr>
                        <w:rFonts w:ascii="Cambria Math" w:hAnsi="Cambria Math"/>
                        <w:sz w:val="36"/>
                      </w:rPr>
                      <m:t>t</m:t>
                    </m:r>
                  </m:sub>
                </m:sSub>
              </m:num>
              <m:den>
                <m:sSub>
                  <m:sSubPr>
                    <m:ctrlPr>
                      <w:rPr>
                        <w:rFonts w:ascii="Cambria Math" w:hAnsi="Cambria Math"/>
                        <w:i/>
                        <w:sz w:val="36"/>
                      </w:rPr>
                    </m:ctrlPr>
                  </m:sSubPr>
                  <m:e>
                    <m:r>
                      <w:rPr>
                        <w:rFonts w:ascii="Cambria Math" w:hAnsi="Cambria Math"/>
                        <w:sz w:val="36"/>
                      </w:rPr>
                      <m:t>EURO</m:t>
                    </m:r>
                  </m:e>
                  <m:sub>
                    <m:r>
                      <w:rPr>
                        <w:rFonts w:ascii="Cambria Math" w:hAnsi="Cambria Math"/>
                        <w:sz w:val="36"/>
                      </w:rPr>
                      <m:t>t</m:t>
                    </m:r>
                  </m:sub>
                </m:sSub>
              </m:den>
            </m:f>
          </m:e>
        </m:d>
        <m:r>
          <w:rPr>
            <w:rFonts w:ascii="Cambria Math" w:eastAsiaTheme="minorEastAsia" w:hAnsi="Cambria Math"/>
            <w:sz w:val="36"/>
          </w:rPr>
          <m:t>*</m:t>
        </m:r>
        <m:d>
          <m:dPr>
            <m:begChr m:val="["/>
            <m:endChr m:val="]"/>
            <m:ctrlPr>
              <w:rPr>
                <w:rFonts w:ascii="Cambria Math" w:hAnsi="Cambria Math"/>
                <w:i/>
                <w:sz w:val="36"/>
              </w:rPr>
            </m:ctrlPr>
          </m:dPr>
          <m:e>
            <m:f>
              <m:fPr>
                <m:ctrlPr>
                  <w:rPr>
                    <w:rFonts w:ascii="Cambria Math" w:hAnsi="Cambria Math"/>
                    <w:i/>
                    <w:sz w:val="36"/>
                  </w:rPr>
                </m:ctrlPr>
              </m:fPr>
              <m:num>
                <m:r>
                  <w:rPr>
                    <w:rFonts w:ascii="Cambria Math" w:hAnsi="Cambria Math"/>
                    <w:sz w:val="36"/>
                  </w:rPr>
                  <m:t>100</m:t>
                </m:r>
              </m:num>
              <m:den>
                <m:sSubSup>
                  <m:sSubSupPr>
                    <m:ctrlPr>
                      <w:rPr>
                        <w:rFonts w:ascii="Cambria Math" w:hAnsi="Cambria Math"/>
                        <w:i/>
                        <w:sz w:val="36"/>
                      </w:rPr>
                    </m:ctrlPr>
                  </m:sSubSupPr>
                  <m:e>
                    <m:r>
                      <w:rPr>
                        <w:rFonts w:ascii="Cambria Math" w:hAnsi="Cambria Math"/>
                        <w:sz w:val="36"/>
                      </w:rPr>
                      <m:t>ULC</m:t>
                    </m:r>
                  </m:e>
                  <m:sub>
                    <m:r>
                      <w:rPr>
                        <w:rFonts w:ascii="Cambria Math" w:hAnsi="Cambria Math"/>
                        <w:sz w:val="36"/>
                      </w:rPr>
                      <m:t>2015</m:t>
                    </m:r>
                  </m:sub>
                  <m:sup>
                    <m:r>
                      <w:rPr>
                        <w:rFonts w:ascii="Cambria Math" w:hAnsi="Cambria Math"/>
                        <w:sz w:val="36"/>
                      </w:rPr>
                      <m:t>ort</m:t>
                    </m:r>
                  </m:sup>
                </m:sSubSup>
              </m:den>
            </m:f>
          </m:e>
        </m:d>
      </m:oMath>
    </w:p>
    <w:p w:rsidR="00087737" w:rsidRDefault="009B5335" w:rsidP="00087737">
      <w:pPr>
        <w:jc w:val="both"/>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t</m:t>
            </m:r>
          </m:sub>
        </m:sSub>
      </m:oMath>
      <w:r w:rsidR="00A62898" w:rsidRPr="00087737">
        <w:rPr>
          <w:rFonts w:eastAsiaTheme="minorEastAsia"/>
        </w:rPr>
        <w:t xml:space="preserve">: </w:t>
      </w:r>
      <w:r w:rsidR="00087737" w:rsidRPr="00087737">
        <w:rPr>
          <w:rFonts w:eastAsiaTheme="minorEastAsia"/>
        </w:rPr>
        <w:t xml:space="preserve"> </w:t>
      </w:r>
      <w:r w:rsidR="00087737" w:rsidRPr="00087737">
        <w:rPr>
          <w:rFonts w:eastAsiaTheme="minorEastAsia"/>
          <w:i/>
        </w:rPr>
        <w:t>t</w:t>
      </w:r>
      <w:r w:rsidR="00087737" w:rsidRPr="00087737">
        <w:rPr>
          <w:rFonts w:eastAsiaTheme="minorEastAsia"/>
        </w:rPr>
        <w:t xml:space="preserve"> dönemine ilişkin sanayi üretim endeksi (t döneminde bulunan üç aya ilişkin TÜİK tarafından hesaplanan “2015 yılı </w:t>
      </w:r>
      <w:proofErr w:type="gramStart"/>
      <w:r w:rsidR="00087737" w:rsidRPr="00087737">
        <w:rPr>
          <w:rFonts w:eastAsiaTheme="minorEastAsia"/>
        </w:rPr>
        <w:t>bazlı</w:t>
      </w:r>
      <w:proofErr w:type="gramEnd"/>
      <w:r w:rsidR="00087737" w:rsidRPr="00087737">
        <w:rPr>
          <w:rFonts w:eastAsiaTheme="minorEastAsia"/>
        </w:rPr>
        <w:t xml:space="preserve"> aylık sanayi üretim endeksi” verilerinin aritmetik ortalaması alınarak elde edilmektedir)</w:t>
      </w:r>
      <w:r w:rsidR="00087737" w:rsidRPr="00087737">
        <w:rPr>
          <w:rFonts w:eastAsiaTheme="minorEastAsia"/>
        </w:rPr>
        <w:cr/>
      </w:r>
      <m:oMath>
        <m:sSub>
          <m:sSubPr>
            <m:ctrlPr>
              <w:rPr>
                <w:rFonts w:ascii="Cambria Math" w:hAnsi="Cambria Math"/>
                <w:i/>
              </w:rPr>
            </m:ctrlPr>
          </m:sSubPr>
          <m:e>
            <m:r>
              <w:rPr>
                <w:rFonts w:ascii="Cambria Math" w:hAnsi="Cambria Math"/>
              </w:rPr>
              <m:t>L</m:t>
            </m:r>
          </m:e>
          <m:sub>
            <m:r>
              <w:rPr>
                <w:rFonts w:ascii="Cambria Math" w:hAnsi="Cambria Math"/>
              </w:rPr>
              <m:t>t</m:t>
            </m:r>
          </m:sub>
        </m:sSub>
      </m:oMath>
      <w:r w:rsidR="00087737" w:rsidRPr="00087737">
        <w:rPr>
          <w:rFonts w:eastAsiaTheme="minorEastAsia"/>
        </w:rPr>
        <w:t xml:space="preserve">: </w:t>
      </w:r>
      <w:r w:rsidR="00087737" w:rsidRPr="00087737">
        <w:rPr>
          <w:rFonts w:eastAsiaTheme="minorEastAsia"/>
          <w:i/>
        </w:rPr>
        <w:t>t</w:t>
      </w:r>
      <w:r w:rsidR="00087737" w:rsidRPr="00087737">
        <w:rPr>
          <w:rFonts w:eastAsiaTheme="minorEastAsia"/>
        </w:rPr>
        <w:t xml:space="preserve"> dönemine ilişkin TÜİK tarafından hesaplanan “2015 yılı </w:t>
      </w:r>
      <w:proofErr w:type="gramStart"/>
      <w:r w:rsidR="00087737" w:rsidRPr="00087737">
        <w:rPr>
          <w:rFonts w:eastAsiaTheme="minorEastAsia"/>
        </w:rPr>
        <w:t>bazlı</w:t>
      </w:r>
      <w:proofErr w:type="gramEnd"/>
      <w:r w:rsidR="00087737" w:rsidRPr="00087737">
        <w:rPr>
          <w:rFonts w:eastAsiaTheme="minorEastAsia"/>
        </w:rPr>
        <w:t xml:space="preserve"> üç aylık</w:t>
      </w:r>
      <w:r w:rsidR="00087737">
        <w:rPr>
          <w:rFonts w:eastAsiaTheme="minorEastAsia"/>
        </w:rPr>
        <w:t xml:space="preserve"> </w:t>
      </w:r>
      <w:r w:rsidR="00087737" w:rsidRPr="00087737">
        <w:rPr>
          <w:rFonts w:eastAsiaTheme="minorEastAsia"/>
        </w:rPr>
        <w:t>sanayide çalışılan saat endeksi”</w:t>
      </w:r>
    </w:p>
    <w:p w:rsidR="00875D00" w:rsidRPr="00087737" w:rsidRDefault="009B5335" w:rsidP="00087737">
      <w:pPr>
        <w:jc w:val="both"/>
      </w:pPr>
      <m:oMath>
        <m:sSub>
          <m:sSubPr>
            <m:ctrlPr>
              <w:rPr>
                <w:rFonts w:ascii="Cambria Math" w:hAnsi="Cambria Math"/>
                <w:i/>
              </w:rPr>
            </m:ctrlPr>
          </m:sSubPr>
          <m:e>
            <m:r>
              <w:rPr>
                <w:rFonts w:ascii="Cambria Math" w:hAnsi="Cambria Math"/>
              </w:rPr>
              <m:t>LC</m:t>
            </m:r>
          </m:e>
          <m:sub>
            <m:r>
              <w:rPr>
                <w:rFonts w:ascii="Cambria Math" w:hAnsi="Cambria Math"/>
              </w:rPr>
              <m:t>t</m:t>
            </m:r>
          </m:sub>
        </m:sSub>
      </m:oMath>
      <w:r w:rsidR="00087737" w:rsidRPr="00087737">
        <w:rPr>
          <w:rFonts w:eastAsiaTheme="minorEastAsia"/>
        </w:rPr>
        <w:t xml:space="preserve">: </w:t>
      </w:r>
      <w:r w:rsidR="00087737" w:rsidRPr="00087737">
        <w:rPr>
          <w:rFonts w:eastAsiaTheme="minorEastAsia"/>
          <w:i/>
        </w:rPr>
        <w:t>t</w:t>
      </w:r>
      <w:r w:rsidR="00087737" w:rsidRPr="00087737">
        <w:rPr>
          <w:rFonts w:eastAsiaTheme="minorEastAsia"/>
        </w:rPr>
        <w:t xml:space="preserve"> dönemine ilişkin TÜİK tarafından hesaplanan işveren tarafından ücretli çalışan istihdamına ilişkin olarak katlanılan kazanç ve kazanç dışı işgücü maliyetini kapsayan “2015 yılı </w:t>
      </w:r>
      <w:proofErr w:type="gramStart"/>
      <w:r w:rsidR="00087737" w:rsidRPr="00087737">
        <w:rPr>
          <w:rFonts w:eastAsiaTheme="minorEastAsia"/>
        </w:rPr>
        <w:t>bazlı</w:t>
      </w:r>
      <w:proofErr w:type="gramEnd"/>
      <w:r w:rsidR="00087737" w:rsidRPr="00087737">
        <w:rPr>
          <w:rFonts w:eastAsiaTheme="minorEastAsia"/>
        </w:rPr>
        <w:t xml:space="preserve"> üç aylık sanayide saatlik işgücü maliyeti endeksi” verileri kullanılmaktadır.</w:t>
      </w:r>
    </w:p>
    <w:p w:rsidR="00875D00" w:rsidRPr="00875D00" w:rsidRDefault="00875D00" w:rsidP="00875D00">
      <w:pPr>
        <w:jc w:val="both"/>
        <w:rPr>
          <w:b/>
        </w:rPr>
      </w:pPr>
      <w:r w:rsidRPr="00875D00">
        <w:rPr>
          <w:b/>
        </w:rPr>
        <w:t>Veri kaynağı</w:t>
      </w:r>
    </w:p>
    <w:p w:rsidR="00C36000" w:rsidRPr="00C36000" w:rsidRDefault="00C36000" w:rsidP="00875D00">
      <w:pPr>
        <w:jc w:val="both"/>
      </w:pPr>
      <w:r w:rsidRPr="00C36000">
        <w:t xml:space="preserve">TUİK, Sanayi Üretim Endeksi hesabında kullanılan verileri Aylık Sanayi Üretim Soru </w:t>
      </w:r>
      <w:proofErr w:type="gramStart"/>
      <w:r w:rsidRPr="00C36000">
        <w:t>Kağıdı'ndan</w:t>
      </w:r>
      <w:proofErr w:type="gramEnd"/>
      <w:r w:rsidRPr="00C36000">
        <w:t xml:space="preserve"> elde edilen veriler ve Gelir İdaresi Başkanlığı verilerinden hesaplanan ciro bilgilerinden elde etmektedir.  Çalışılan saat hesaplamasında, TÜİK tarafından yapılan Hanehalkı İşgücü Anketinden elde edilen kayıtlı ücretli çalışanların fiili çalışma saat verisi ile idari kayıtlara dayanan ücretli çalışan verisi kullanılmaktadır.</w:t>
      </w:r>
    </w:p>
    <w:p w:rsidR="00332402" w:rsidRDefault="00C36000" w:rsidP="00875D00">
      <w:pPr>
        <w:jc w:val="both"/>
      </w:pPr>
      <w:r w:rsidRPr="00C36000">
        <w:t xml:space="preserve">ABD Doları (Döviz Alış) ve Euro (Döviz Alış)  verileri </w:t>
      </w:r>
      <w:r w:rsidR="00332402" w:rsidRPr="00C36000">
        <w:t>TCMB</w:t>
      </w:r>
      <w:r w:rsidRPr="00C36000">
        <w:t>’den</w:t>
      </w:r>
      <w:r w:rsidR="00332402" w:rsidRPr="00C36000">
        <w:t xml:space="preserve"> </w:t>
      </w:r>
      <w:r w:rsidRPr="00C36000">
        <w:t>elde edilmektedir.</w:t>
      </w:r>
    </w:p>
    <w:p w:rsidR="00875D00" w:rsidRPr="00875D00" w:rsidRDefault="00875D00" w:rsidP="00875D00">
      <w:pPr>
        <w:jc w:val="both"/>
        <w:rPr>
          <w:b/>
        </w:rPr>
      </w:pPr>
      <w:r w:rsidRPr="00875D00">
        <w:rPr>
          <w:b/>
        </w:rPr>
        <w:t>Revize nedenleri ve yöntemi</w:t>
      </w:r>
    </w:p>
    <w:p w:rsidR="00875D00" w:rsidRDefault="00875D00" w:rsidP="00875D00">
      <w:pPr>
        <w:jc w:val="both"/>
      </w:pPr>
      <w:r>
        <w:t xml:space="preserve">TÜİK’ten temin edilen verilerde endeks hesaplama dönemine yetişmeyen, geç gelen cevaplı anketler ve veri kaynağındaki hataların düzeltilmesi nedeniyle </w:t>
      </w:r>
      <w:proofErr w:type="gramStart"/>
      <w:r>
        <w:t>revizyon</w:t>
      </w:r>
      <w:proofErr w:type="gramEnd"/>
      <w:r>
        <w:t xml:space="preserve"> yapılmaktadır.</w:t>
      </w:r>
    </w:p>
    <w:p w:rsidR="00875D00" w:rsidRDefault="00875D00" w:rsidP="00875D00">
      <w:pPr>
        <w:jc w:val="both"/>
      </w:pPr>
      <w:r>
        <w:t xml:space="preserve">Temel yılın güncellenmesi, istatistik yöntem, kavram, tanım ve sınıflamanın değişikliğinden dolayı da </w:t>
      </w:r>
      <w:proofErr w:type="gramStart"/>
      <w:r>
        <w:t>revizyon</w:t>
      </w:r>
      <w:proofErr w:type="gramEnd"/>
      <w:r>
        <w:t xml:space="preserve"> yapılmaktadır.</w:t>
      </w:r>
    </w:p>
    <w:p w:rsidR="00875D00" w:rsidRDefault="00875D00" w:rsidP="00875D00">
      <w:pPr>
        <w:jc w:val="both"/>
      </w:pPr>
      <w:r>
        <w:t>Serilerde;</w:t>
      </w:r>
    </w:p>
    <w:p w:rsidR="00875D00" w:rsidRDefault="00875D00" w:rsidP="00875D00">
      <w:pPr>
        <w:jc w:val="both"/>
      </w:pPr>
      <w:r>
        <w:t>1. Cari dönem endeksleri yayımlanırken bir önceki dönem endeksleri revize edilmektedir.</w:t>
      </w:r>
    </w:p>
    <w:p w:rsidR="00875D00" w:rsidRDefault="00875D00" w:rsidP="00875D00">
      <w:pPr>
        <w:jc w:val="both"/>
      </w:pPr>
      <w:r>
        <w:t>2. Yılın sonunda son iki yıl revize edilmektedir.</w:t>
      </w:r>
    </w:p>
    <w:p w:rsidR="00875D00" w:rsidRPr="00875D00" w:rsidRDefault="00875D00" w:rsidP="00875D00">
      <w:pPr>
        <w:jc w:val="both"/>
        <w:rPr>
          <w:b/>
        </w:rPr>
      </w:pPr>
      <w:r w:rsidRPr="00875D00">
        <w:rPr>
          <w:b/>
        </w:rPr>
        <w:t>Periyodu</w:t>
      </w:r>
    </w:p>
    <w:p w:rsidR="00875D00" w:rsidRDefault="00875D00" w:rsidP="00875D00">
      <w:pPr>
        <w:jc w:val="both"/>
      </w:pPr>
      <w:r>
        <w:t>İstatistikler üç aylık dönemler itibariyle hesaplanmaktadır.</w:t>
      </w:r>
    </w:p>
    <w:p w:rsidR="00875D00" w:rsidRPr="00875D00" w:rsidRDefault="00875D00" w:rsidP="00875D00">
      <w:pPr>
        <w:jc w:val="both"/>
        <w:rPr>
          <w:b/>
        </w:rPr>
      </w:pPr>
      <w:r w:rsidRPr="00875D00">
        <w:rPr>
          <w:b/>
        </w:rPr>
        <w:t>Revizyon Politikası</w:t>
      </w:r>
    </w:p>
    <w:p w:rsidR="00875D00" w:rsidRDefault="00875D00" w:rsidP="00875D00">
      <w:pPr>
        <w:jc w:val="both"/>
      </w:pPr>
      <w:r>
        <w:t xml:space="preserve">TÜİK tarafından uygulanan mevsimsel düzeltme </w:t>
      </w:r>
      <w:proofErr w:type="gramStart"/>
      <w:r>
        <w:t>prosedürü</w:t>
      </w:r>
      <w:proofErr w:type="gramEnd"/>
      <w:r>
        <w:t xml:space="preserve">, seriye yeni gözlemler eklendiğinde mevsimsel bileşenin yeniden tahmin edilmesi nedeniyle zaman içinde revizyonlara maruz kalmaktadır. Bu </w:t>
      </w:r>
      <w:proofErr w:type="gramStart"/>
      <w:r>
        <w:t>revizyonlar</w:t>
      </w:r>
      <w:proofErr w:type="gramEnd"/>
      <w:r>
        <w:t xml:space="preserve">, sanayi üretim endeksi için cari yıl hariç son üç yıllık veriye, işgücü girdi endeksleri için son bir yıllık veriye uygulanmaktadır. </w:t>
      </w:r>
    </w:p>
    <w:p w:rsidR="00A05ECC" w:rsidRDefault="00A05ECC" w:rsidP="00875D00">
      <w:pPr>
        <w:jc w:val="both"/>
        <w:rPr>
          <w:b/>
        </w:rPr>
      </w:pPr>
      <w:r w:rsidRPr="00875D00">
        <w:rPr>
          <w:b/>
        </w:rPr>
        <w:t>Yayımlanma</w:t>
      </w:r>
    </w:p>
    <w:p w:rsidR="00A05ECC" w:rsidRPr="00A05ECC" w:rsidRDefault="00FE2308" w:rsidP="00875D00">
      <w:pPr>
        <w:jc w:val="both"/>
      </w:pPr>
      <w:r>
        <w:t>S</w:t>
      </w:r>
      <w:r w:rsidR="00A05ECC" w:rsidRPr="00A05ECC">
        <w:t>anayide birim ücret endeksi “Resmi İstatistik Programı” kapsamında T.C. Cumhurbaşkanlığı Strateji ve Bütçe Başkanlığı tarafından yayımlanmaktadır.</w:t>
      </w:r>
    </w:p>
    <w:p w:rsidR="00875D00" w:rsidRPr="00875D00" w:rsidRDefault="00875D00" w:rsidP="00875D00">
      <w:pPr>
        <w:jc w:val="both"/>
        <w:rPr>
          <w:b/>
        </w:rPr>
      </w:pPr>
      <w:r w:rsidRPr="00875D00">
        <w:rPr>
          <w:b/>
        </w:rPr>
        <w:t>Yayımlanma Zamanı</w:t>
      </w:r>
    </w:p>
    <w:p w:rsidR="00875D00" w:rsidRPr="00875D00" w:rsidRDefault="00875D00" w:rsidP="00875D00">
      <w:pPr>
        <w:jc w:val="both"/>
        <w:rPr>
          <w:b/>
        </w:rPr>
      </w:pPr>
      <w:r w:rsidRPr="00875D00">
        <w:rPr>
          <w:b/>
        </w:rPr>
        <w:t>Referans dönemleri</w:t>
      </w:r>
    </w:p>
    <w:p w:rsidR="00875D00" w:rsidRDefault="00875D00" w:rsidP="00875D00">
      <w:pPr>
        <w:jc w:val="both"/>
      </w:pPr>
      <w:r>
        <w:t>İstatistikler aşağıda belirtilen üç aylık dönemler itibariyle hesaplanmaktadır:</w:t>
      </w:r>
    </w:p>
    <w:p w:rsidR="00875D00" w:rsidRDefault="00875D00" w:rsidP="00875D00">
      <w:pPr>
        <w:jc w:val="both"/>
      </w:pPr>
      <w:r>
        <w:t xml:space="preserve">Birinci dönem: 1 Ocak – 31 Mart </w:t>
      </w:r>
      <w:r>
        <w:tab/>
      </w:r>
      <w:r>
        <w:tab/>
        <w:t xml:space="preserve">Yayım Tarihi: 15 Haziran </w:t>
      </w:r>
    </w:p>
    <w:p w:rsidR="00875D00" w:rsidRDefault="00875D00" w:rsidP="00875D00">
      <w:pPr>
        <w:jc w:val="both"/>
      </w:pPr>
      <w:r>
        <w:t>İkinci dönem: 1 Nisan – 30 Haziran</w:t>
      </w:r>
      <w:r>
        <w:tab/>
      </w:r>
      <w:r>
        <w:tab/>
        <w:t>Yayım Tarihi: 15 Eylül</w:t>
      </w:r>
    </w:p>
    <w:p w:rsidR="00875D00" w:rsidRDefault="00875D00" w:rsidP="00875D00">
      <w:pPr>
        <w:jc w:val="both"/>
      </w:pPr>
      <w:r>
        <w:t>Üçüncü dönem: 1 Temmuz – 30 Eylül</w:t>
      </w:r>
      <w:r w:rsidRPr="00875D00">
        <w:t xml:space="preserve"> </w:t>
      </w:r>
      <w:r>
        <w:tab/>
      </w:r>
      <w:r>
        <w:tab/>
        <w:t>Yayım Tarihi: 15 Aralık</w:t>
      </w:r>
    </w:p>
    <w:p w:rsidR="00875D00" w:rsidRDefault="00875D00" w:rsidP="00875D00">
      <w:pPr>
        <w:jc w:val="both"/>
      </w:pPr>
      <w:r>
        <w:t xml:space="preserve">Dördüncü dönem: 1 Ekim – 31 Aralık </w:t>
      </w:r>
      <w:r>
        <w:tab/>
      </w:r>
      <w:r>
        <w:tab/>
        <w:t>Yayım Tarihi: 15 Mart</w:t>
      </w:r>
    </w:p>
    <w:sectPr w:rsidR="00875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sjA2MzQxMbMwszRX0lEKTi0uzszPAykwrgUA2ZF0kywAAAA="/>
  </w:docVars>
  <w:rsids>
    <w:rsidRoot w:val="00875D00"/>
    <w:rsid w:val="00087737"/>
    <w:rsid w:val="002A44EE"/>
    <w:rsid w:val="002C7155"/>
    <w:rsid w:val="00332402"/>
    <w:rsid w:val="007C1703"/>
    <w:rsid w:val="00801FBB"/>
    <w:rsid w:val="00875D00"/>
    <w:rsid w:val="00945A83"/>
    <w:rsid w:val="009B5335"/>
    <w:rsid w:val="00A05ECC"/>
    <w:rsid w:val="00A62898"/>
    <w:rsid w:val="00AC3487"/>
    <w:rsid w:val="00C36000"/>
    <w:rsid w:val="00CF5470"/>
    <w:rsid w:val="00E90E1A"/>
    <w:rsid w:val="00FE23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93D7"/>
  <w15:chartTrackingRefBased/>
  <w15:docId w15:val="{1C8DE6DA-4AB3-4669-98A3-33E91574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5D00"/>
    <w:rPr>
      <w:color w:val="0563C1" w:themeColor="hyperlink"/>
      <w:u w:val="single"/>
    </w:rPr>
  </w:style>
  <w:style w:type="character" w:styleId="YerTutucuMetni">
    <w:name w:val="Placeholder Text"/>
    <w:basedOn w:val="VarsaylanParagrafYazTipi"/>
    <w:uiPriority w:val="99"/>
    <w:semiHidden/>
    <w:rsid w:val="00A628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İKİZLER</dc:creator>
  <cp:keywords/>
  <dc:description/>
  <cp:lastModifiedBy>Begüm DİKİLİTAŞ</cp:lastModifiedBy>
  <cp:revision>2</cp:revision>
  <dcterms:created xsi:type="dcterms:W3CDTF">2021-09-08T08:43:00Z</dcterms:created>
  <dcterms:modified xsi:type="dcterms:W3CDTF">2021-09-08T08:43:00Z</dcterms:modified>
</cp:coreProperties>
</file>