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64" w:rsidRPr="00520178" w:rsidRDefault="002D5A7B" w:rsidP="00D20A7F">
      <w:pPr>
        <w:spacing w:before="120" w:after="120" w:line="360" w:lineRule="auto"/>
        <w:jc w:val="center"/>
        <w:rPr>
          <w:rFonts w:ascii="Times New Roman" w:hAnsi="Times New Roman" w:cs="Times New Roman"/>
          <w:b/>
          <w:color w:val="FF0000"/>
          <w:sz w:val="24"/>
        </w:rPr>
      </w:pPr>
      <w:r w:rsidRPr="00520178">
        <w:rPr>
          <w:rFonts w:ascii="Times New Roman" w:eastAsia="Times New Roman" w:hAnsi="Times New Roman" w:cs="Times New Roman"/>
          <w:b/>
          <w:sz w:val="24"/>
          <w:szCs w:val="24"/>
          <w:lang w:eastAsia="tr-TR"/>
        </w:rPr>
        <w:t>ORTA VADELİ MALİ PLAN</w:t>
      </w:r>
      <w:r w:rsidR="000A0264" w:rsidRPr="00520178">
        <w:rPr>
          <w:rFonts w:ascii="Times New Roman" w:eastAsia="Times New Roman" w:hAnsi="Times New Roman" w:cs="Times New Roman"/>
          <w:b/>
          <w:sz w:val="24"/>
          <w:szCs w:val="24"/>
          <w:lang w:eastAsia="tr-TR"/>
        </w:rPr>
        <w:t xml:space="preserve"> </w:t>
      </w:r>
    </w:p>
    <w:p w:rsidR="002D5A7B" w:rsidRPr="00520178" w:rsidRDefault="002D5A7B" w:rsidP="00D20A7F">
      <w:pPr>
        <w:tabs>
          <w:tab w:val="left" w:pos="8280"/>
        </w:tabs>
        <w:spacing w:before="120" w:after="120" w:line="360" w:lineRule="auto"/>
        <w:jc w:val="center"/>
        <w:outlineLvl w:val="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(20</w:t>
      </w:r>
      <w:r w:rsidR="00A84BCB" w:rsidRPr="00520178">
        <w:rPr>
          <w:rFonts w:ascii="Times New Roman" w:eastAsia="Times New Roman" w:hAnsi="Times New Roman" w:cs="Times New Roman"/>
          <w:b/>
          <w:sz w:val="24"/>
          <w:szCs w:val="24"/>
          <w:lang w:eastAsia="tr-TR"/>
        </w:rPr>
        <w:t>20</w:t>
      </w:r>
      <w:r w:rsidRPr="00520178">
        <w:rPr>
          <w:rFonts w:ascii="Times New Roman" w:eastAsia="Times New Roman" w:hAnsi="Times New Roman" w:cs="Times New Roman"/>
          <w:b/>
          <w:sz w:val="24"/>
          <w:szCs w:val="24"/>
          <w:lang w:eastAsia="tr-TR"/>
        </w:rPr>
        <w:t xml:space="preserve"> - 20</w:t>
      </w:r>
      <w:r w:rsidR="00407FE9" w:rsidRPr="00520178">
        <w:rPr>
          <w:rFonts w:ascii="Times New Roman" w:eastAsia="Times New Roman" w:hAnsi="Times New Roman" w:cs="Times New Roman"/>
          <w:b/>
          <w:sz w:val="24"/>
          <w:szCs w:val="24"/>
          <w:lang w:eastAsia="tr-TR"/>
        </w:rPr>
        <w:t>2</w:t>
      </w:r>
      <w:r w:rsidR="00A84BCB" w:rsidRPr="00520178">
        <w:rPr>
          <w:rFonts w:ascii="Times New Roman" w:eastAsia="Times New Roman" w:hAnsi="Times New Roman" w:cs="Times New Roman"/>
          <w:b/>
          <w:sz w:val="24"/>
          <w:szCs w:val="24"/>
          <w:lang w:eastAsia="tr-TR"/>
        </w:rPr>
        <w:t>2</w:t>
      </w:r>
      <w:r w:rsidRPr="00520178">
        <w:rPr>
          <w:rFonts w:ascii="Times New Roman" w:eastAsia="Times New Roman" w:hAnsi="Times New Roman" w:cs="Times New Roman"/>
          <w:b/>
          <w:sz w:val="24"/>
          <w:szCs w:val="24"/>
          <w:lang w:eastAsia="tr-TR"/>
        </w:rPr>
        <w:t>)</w:t>
      </w:r>
    </w:p>
    <w:p w:rsidR="002D5A7B" w:rsidRPr="00520178" w:rsidRDefault="00CC6AC3" w:rsidP="009F0E28">
      <w:pPr>
        <w:tabs>
          <w:tab w:val="left" w:pos="567"/>
        </w:tabs>
        <w:spacing w:after="120"/>
        <w:jc w:val="both"/>
        <w:outlineLvl w:val="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 xml:space="preserve">         </w:t>
      </w:r>
      <w:r w:rsidR="002D5A7B" w:rsidRPr="00520178">
        <w:rPr>
          <w:rFonts w:ascii="Times New Roman" w:eastAsia="Times New Roman" w:hAnsi="Times New Roman" w:cs="Times New Roman"/>
          <w:b/>
          <w:sz w:val="24"/>
          <w:szCs w:val="24"/>
          <w:lang w:eastAsia="tr-TR"/>
        </w:rPr>
        <w:t>GİRİŞ</w:t>
      </w:r>
    </w:p>
    <w:p w:rsidR="002D5A7B" w:rsidRPr="00520178" w:rsidRDefault="004834DF" w:rsidP="0018158B">
      <w:pPr>
        <w:spacing w:before="120"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00011E77" w:rsidRPr="00520178">
        <w:rPr>
          <w:rFonts w:ascii="Times New Roman" w:eastAsia="Times New Roman" w:hAnsi="Times New Roman" w:cs="Times New Roman"/>
          <w:sz w:val="24"/>
          <w:szCs w:val="24"/>
          <w:lang w:eastAsia="tr-TR"/>
        </w:rPr>
        <w:t xml:space="preserve"> dönemi Orta Vadeli Mali Planı, </w:t>
      </w:r>
      <w:r w:rsidR="00C30E99" w:rsidRPr="00520178">
        <w:rPr>
          <w:rFonts w:ascii="Times New Roman" w:eastAsia="Times New Roman" w:hAnsi="Times New Roman" w:cs="Times New Roman"/>
          <w:sz w:val="24"/>
          <w:szCs w:val="24"/>
          <w:lang w:eastAsia="tr-TR"/>
        </w:rPr>
        <w:t>Yeni Ekonomi Programı</w:t>
      </w:r>
      <w:r w:rsidR="0095407F">
        <w:rPr>
          <w:rFonts w:ascii="Times New Roman" w:eastAsia="Times New Roman" w:hAnsi="Times New Roman" w:cs="Times New Roman"/>
          <w:sz w:val="24"/>
          <w:szCs w:val="24"/>
          <w:lang w:eastAsia="tr-TR"/>
        </w:rPr>
        <w:t>/</w:t>
      </w:r>
      <w:r w:rsidR="00FE0BA9" w:rsidRPr="00520178">
        <w:rPr>
          <w:rFonts w:ascii="Times New Roman" w:eastAsia="Times New Roman" w:hAnsi="Times New Roman" w:cs="Times New Roman"/>
          <w:sz w:val="24"/>
          <w:szCs w:val="24"/>
          <w:lang w:eastAsia="tr-TR"/>
        </w:rPr>
        <w:t>Orta Vadeli Program (2020-2022)</w:t>
      </w:r>
      <w:r w:rsidRPr="00520178">
        <w:rPr>
          <w:rFonts w:ascii="Times New Roman" w:eastAsia="Times New Roman" w:hAnsi="Times New Roman" w:cs="Times New Roman"/>
          <w:sz w:val="24"/>
          <w:szCs w:val="24"/>
          <w:lang w:eastAsia="tr-TR"/>
        </w:rPr>
        <w:t xml:space="preserve"> </w:t>
      </w:r>
      <w:r w:rsidR="00FE0BA9" w:rsidRPr="00520178">
        <w:rPr>
          <w:rFonts w:ascii="Times New Roman" w:eastAsia="Times New Roman" w:hAnsi="Times New Roman" w:cs="Times New Roman"/>
          <w:sz w:val="24"/>
          <w:szCs w:val="24"/>
          <w:lang w:eastAsia="tr-TR"/>
        </w:rPr>
        <w:t xml:space="preserve">ile </w:t>
      </w:r>
      <w:r w:rsidRPr="00520178">
        <w:rPr>
          <w:rFonts w:ascii="Times New Roman" w:eastAsia="Times New Roman" w:hAnsi="Times New Roman" w:cs="Times New Roman"/>
          <w:sz w:val="24"/>
          <w:szCs w:val="24"/>
          <w:lang w:eastAsia="tr-TR"/>
        </w:rPr>
        <w:t>uyumlu olmak üzere 20</w:t>
      </w:r>
      <w:r w:rsidR="0078597E" w:rsidRPr="00520178">
        <w:rPr>
          <w:rFonts w:ascii="Times New Roman" w:eastAsia="Times New Roman" w:hAnsi="Times New Roman" w:cs="Times New Roman"/>
          <w:sz w:val="24"/>
          <w:szCs w:val="24"/>
          <w:lang w:eastAsia="tr-TR"/>
        </w:rPr>
        <w:t>20</w:t>
      </w:r>
      <w:r w:rsidR="00750F80" w:rsidRPr="00520178">
        <w:rPr>
          <w:rFonts w:ascii="Times New Roman" w:eastAsia="Times New Roman" w:hAnsi="Times New Roman" w:cs="Times New Roman"/>
          <w:sz w:val="24"/>
          <w:szCs w:val="24"/>
          <w:lang w:eastAsia="tr-TR"/>
        </w:rPr>
        <w:t>, 202</w:t>
      </w:r>
      <w:r w:rsidR="0078597E" w:rsidRPr="00520178">
        <w:rPr>
          <w:rFonts w:ascii="Times New Roman" w:eastAsia="Times New Roman" w:hAnsi="Times New Roman" w:cs="Times New Roman"/>
          <w:sz w:val="24"/>
          <w:szCs w:val="24"/>
          <w:lang w:eastAsia="tr-TR"/>
        </w:rPr>
        <w:t>1</w:t>
      </w:r>
      <w:r w:rsidR="00041DB8" w:rsidRPr="00520178">
        <w:rPr>
          <w:rFonts w:ascii="Times New Roman" w:eastAsia="Times New Roman" w:hAnsi="Times New Roman" w:cs="Times New Roman"/>
          <w:sz w:val="24"/>
          <w:szCs w:val="24"/>
          <w:lang w:eastAsia="tr-TR"/>
        </w:rPr>
        <w:t xml:space="preserve"> ve</w:t>
      </w:r>
      <w:r w:rsidRPr="00520178">
        <w:rPr>
          <w:rFonts w:ascii="Times New Roman" w:eastAsia="Times New Roman" w:hAnsi="Times New Roman" w:cs="Times New Roman"/>
          <w:sz w:val="24"/>
          <w:szCs w:val="24"/>
          <w:lang w:eastAsia="tr-TR"/>
        </w:rPr>
        <w:t xml:space="preserve"> 20</w:t>
      </w:r>
      <w:r w:rsidR="00750F80"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yıllarına ilişkin merkezi yönetim bütçesi toplam gelir ve gider tahminleriyle birlikte hedef açık ve borçlanma durumu ile kamu idarelerinin ödenek teklif tavanlarını içerecek şekilde </w:t>
      </w:r>
      <w:r w:rsidR="00420CD6" w:rsidRPr="00520178">
        <w:rPr>
          <w:rFonts w:ascii="Times New Roman" w:eastAsia="Times New Roman" w:hAnsi="Times New Roman" w:cs="Times New Roman"/>
          <w:sz w:val="24"/>
          <w:szCs w:val="24"/>
          <w:lang w:eastAsia="tr-TR"/>
        </w:rPr>
        <w:t>hazırlanmıştır.</w:t>
      </w:r>
      <w:r w:rsidR="00750F80" w:rsidRPr="00520178">
        <w:rPr>
          <w:rFonts w:ascii="Times New Roman" w:eastAsia="Times New Roman" w:hAnsi="Times New Roman" w:cs="Times New Roman"/>
          <w:sz w:val="24"/>
          <w:szCs w:val="24"/>
          <w:lang w:eastAsia="tr-TR"/>
        </w:rPr>
        <w:t xml:space="preserve"> </w:t>
      </w:r>
    </w:p>
    <w:p w:rsidR="000E31B9" w:rsidRPr="00520178" w:rsidRDefault="00792B38" w:rsidP="0018158B">
      <w:pPr>
        <w:spacing w:before="120" w:after="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22</w:t>
      </w:r>
      <w:r w:rsidRPr="00520178">
        <w:rPr>
          <w:rFonts w:ascii="Times New Roman" w:eastAsia="Times New Roman" w:hAnsi="Times New Roman" w:cs="Times New Roman"/>
          <w:sz w:val="24"/>
          <w:szCs w:val="24"/>
          <w:lang w:eastAsia="tr-TR"/>
        </w:rPr>
        <w:t xml:space="preserve"> döneminde ekonomi politikasının temel amacı, </w:t>
      </w:r>
      <w:r w:rsidR="00561A26" w:rsidRPr="00520178">
        <w:rPr>
          <w:rFonts w:ascii="Times New Roman" w:eastAsia="Times New Roman" w:hAnsi="Times New Roman" w:cs="Times New Roman"/>
          <w:sz w:val="24"/>
          <w:szCs w:val="24"/>
          <w:lang w:eastAsia="tr-TR"/>
        </w:rPr>
        <w:t>fiyat istikrarı, finansal istikrar ve cari işlemler dengesinde son bir yılda elde edilen kazanımların korunup geliştirilme</w:t>
      </w:r>
      <w:r w:rsidR="00F86956" w:rsidRPr="00520178">
        <w:rPr>
          <w:rFonts w:ascii="Times New Roman" w:eastAsia="Times New Roman" w:hAnsi="Times New Roman" w:cs="Times New Roman"/>
          <w:sz w:val="24"/>
          <w:szCs w:val="24"/>
          <w:lang w:eastAsia="tr-TR"/>
        </w:rPr>
        <w:t>si, üretim ve verimlilik odaklı,</w:t>
      </w:r>
      <w:r w:rsidR="00561A26" w:rsidRPr="00520178">
        <w:rPr>
          <w:rFonts w:ascii="Times New Roman" w:hAnsi="Times New Roman" w:cs="Times New Roman"/>
        </w:rPr>
        <w:t xml:space="preserve"> s</w:t>
      </w:r>
      <w:r w:rsidR="00F84322" w:rsidRPr="00520178">
        <w:rPr>
          <w:rFonts w:ascii="Times New Roman" w:eastAsia="Times New Roman" w:hAnsi="Times New Roman" w:cs="Times New Roman"/>
          <w:sz w:val="24"/>
          <w:szCs w:val="24"/>
          <w:lang w:eastAsia="tr-TR"/>
        </w:rPr>
        <w:t xml:space="preserve">ürdürülebilir büyüme </w:t>
      </w:r>
      <w:r w:rsidR="00561A26" w:rsidRPr="00520178">
        <w:rPr>
          <w:rFonts w:ascii="Times New Roman" w:eastAsia="Times New Roman" w:hAnsi="Times New Roman" w:cs="Times New Roman"/>
          <w:sz w:val="24"/>
          <w:szCs w:val="24"/>
          <w:lang w:eastAsia="tr-TR"/>
        </w:rPr>
        <w:t xml:space="preserve">ile </w:t>
      </w:r>
      <w:r w:rsidR="00F84322" w:rsidRPr="00520178">
        <w:rPr>
          <w:rFonts w:ascii="Times New Roman" w:eastAsia="Times New Roman" w:hAnsi="Times New Roman" w:cs="Times New Roman"/>
          <w:sz w:val="24"/>
          <w:szCs w:val="24"/>
          <w:lang w:eastAsia="tr-TR"/>
        </w:rPr>
        <w:t xml:space="preserve">adaletli paylaşıma yönelik ekonomik </w:t>
      </w:r>
      <w:r w:rsidR="00561A26" w:rsidRPr="00520178">
        <w:rPr>
          <w:rFonts w:ascii="Times New Roman" w:eastAsia="Times New Roman" w:hAnsi="Times New Roman" w:cs="Times New Roman"/>
          <w:sz w:val="24"/>
          <w:szCs w:val="24"/>
          <w:lang w:eastAsia="tr-TR"/>
        </w:rPr>
        <w:t xml:space="preserve">dönüşümün </w:t>
      </w:r>
      <w:r w:rsidR="00F84322" w:rsidRPr="00520178">
        <w:rPr>
          <w:rFonts w:ascii="Times New Roman" w:eastAsia="Times New Roman" w:hAnsi="Times New Roman" w:cs="Times New Roman"/>
          <w:sz w:val="24"/>
          <w:szCs w:val="24"/>
          <w:lang w:eastAsia="tr-TR"/>
        </w:rPr>
        <w:t>gerçekleştirilmesidir.</w:t>
      </w:r>
      <w:r w:rsidR="00FE0BA9" w:rsidRPr="00520178">
        <w:rPr>
          <w:rFonts w:ascii="Times New Roman" w:eastAsia="Times New Roman" w:hAnsi="Times New Roman" w:cs="Times New Roman"/>
          <w:sz w:val="24"/>
          <w:szCs w:val="24"/>
          <w:lang w:eastAsia="tr-TR"/>
        </w:rPr>
        <w:t xml:space="preserve"> Bu dönemde</w:t>
      </w:r>
      <w:r w:rsidR="00F45869" w:rsidRPr="00520178">
        <w:rPr>
          <w:rFonts w:ascii="Times New Roman" w:eastAsia="Times New Roman" w:hAnsi="Times New Roman" w:cs="Times New Roman"/>
          <w:sz w:val="24"/>
          <w:szCs w:val="24"/>
          <w:lang w:eastAsia="tr-TR"/>
        </w:rPr>
        <w:t xml:space="preserve"> k</w:t>
      </w:r>
      <w:r w:rsidR="000E31B9" w:rsidRPr="00520178">
        <w:rPr>
          <w:rFonts w:ascii="Times New Roman" w:eastAsia="Times New Roman" w:hAnsi="Times New Roman" w:cs="Times New Roman"/>
          <w:sz w:val="24"/>
          <w:szCs w:val="24"/>
          <w:lang w:eastAsia="tr-TR"/>
        </w:rPr>
        <w:t>amunun güçlü desteği ve özel sektörün öncülüğünde sermaye birikimi ve san</w:t>
      </w:r>
      <w:r w:rsidR="00FE0BA9" w:rsidRPr="00520178">
        <w:rPr>
          <w:rFonts w:ascii="Times New Roman" w:eastAsia="Times New Roman" w:hAnsi="Times New Roman" w:cs="Times New Roman"/>
          <w:sz w:val="24"/>
          <w:szCs w:val="24"/>
          <w:lang w:eastAsia="tr-TR"/>
        </w:rPr>
        <w:t>ayileşme süreci hızlandırılacak,</w:t>
      </w:r>
      <w:r w:rsidR="000E31B9" w:rsidRPr="00520178">
        <w:rPr>
          <w:rFonts w:ascii="Times New Roman" w:eastAsia="Times New Roman" w:hAnsi="Times New Roman" w:cs="Times New Roman"/>
          <w:sz w:val="24"/>
          <w:szCs w:val="24"/>
          <w:lang w:eastAsia="tr-TR"/>
        </w:rPr>
        <w:t xml:space="preserve"> her alanda verimlilik artırılacak, yurtiçi tasarrufların ve üretken ya</w:t>
      </w:r>
      <w:r w:rsidR="00FE0BA9" w:rsidRPr="00520178">
        <w:rPr>
          <w:rFonts w:ascii="Times New Roman" w:eastAsia="Times New Roman" w:hAnsi="Times New Roman" w:cs="Times New Roman"/>
          <w:sz w:val="24"/>
          <w:szCs w:val="24"/>
          <w:lang w:eastAsia="tr-TR"/>
        </w:rPr>
        <w:t>tırımların düzeyi yükseltilecek,</w:t>
      </w:r>
      <w:r w:rsidR="000E31B9" w:rsidRPr="00520178">
        <w:rPr>
          <w:rFonts w:ascii="Times New Roman" w:eastAsia="Times New Roman" w:hAnsi="Times New Roman" w:cs="Times New Roman"/>
          <w:sz w:val="24"/>
          <w:szCs w:val="24"/>
          <w:lang w:eastAsia="tr-TR"/>
        </w:rPr>
        <w:t xml:space="preserve"> üretim süreçlerinin ihracata dönük, yenilikçi ve ithalat bağımlılığı azalmış bir yapıya dönüşmesi sağlanacaktır.</w:t>
      </w:r>
    </w:p>
    <w:p w:rsidR="008E65A8" w:rsidRPr="00520178" w:rsidRDefault="002D5A7B" w:rsidP="0018158B">
      <w:pPr>
        <w:spacing w:before="120" w:after="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Mali Plan döneminde maliye politikası</w:t>
      </w:r>
      <w:r w:rsidR="00F84322" w:rsidRPr="00520178">
        <w:rPr>
          <w:rFonts w:ascii="Times New Roman" w:eastAsia="Times New Roman" w:hAnsi="Times New Roman" w:cs="Times New Roman"/>
          <w:sz w:val="24"/>
          <w:szCs w:val="24"/>
          <w:lang w:eastAsia="tr-TR"/>
        </w:rPr>
        <w:t xml:space="preserve">nın </w:t>
      </w:r>
      <w:r w:rsidR="00420CD6" w:rsidRPr="00520178">
        <w:rPr>
          <w:rFonts w:ascii="Times New Roman" w:eastAsia="Times New Roman" w:hAnsi="Times New Roman" w:cs="Times New Roman"/>
          <w:sz w:val="24"/>
          <w:szCs w:val="24"/>
          <w:lang w:eastAsia="tr-TR"/>
        </w:rPr>
        <w:t>temel hedef</w:t>
      </w:r>
      <w:r w:rsidR="00F84322" w:rsidRPr="00520178">
        <w:rPr>
          <w:rFonts w:ascii="Times New Roman" w:eastAsia="Times New Roman" w:hAnsi="Times New Roman" w:cs="Times New Roman"/>
          <w:sz w:val="24"/>
          <w:szCs w:val="24"/>
          <w:lang w:eastAsia="tr-TR"/>
        </w:rPr>
        <w:t>i</w:t>
      </w:r>
      <w:r w:rsidR="00AC6842" w:rsidRPr="00520178">
        <w:rPr>
          <w:rFonts w:ascii="Times New Roman" w:eastAsia="Times New Roman" w:hAnsi="Times New Roman" w:cs="Times New Roman"/>
          <w:sz w:val="24"/>
          <w:szCs w:val="24"/>
          <w:lang w:eastAsia="tr-TR"/>
        </w:rPr>
        <w:t>,</w:t>
      </w:r>
      <w:r w:rsidR="00F45869" w:rsidRPr="00520178">
        <w:rPr>
          <w:rFonts w:ascii="Times New Roman" w:eastAsia="Times New Roman" w:hAnsi="Times New Roman" w:cs="Times New Roman"/>
          <w:sz w:val="24"/>
          <w:szCs w:val="24"/>
          <w:lang w:eastAsia="tr-TR"/>
        </w:rPr>
        <w:t xml:space="preserve"> </w:t>
      </w:r>
      <w:r w:rsidR="00082EF9" w:rsidRPr="00520178">
        <w:rPr>
          <w:rFonts w:ascii="Times New Roman" w:eastAsia="Times New Roman" w:hAnsi="Times New Roman" w:cs="Times New Roman"/>
          <w:sz w:val="24"/>
          <w:szCs w:val="24"/>
          <w:lang w:eastAsia="tr-TR"/>
        </w:rPr>
        <w:t>mali disipline kararlılıkla devam edilmesidir.</w:t>
      </w:r>
      <w:r w:rsidR="00082EF9" w:rsidRPr="00520178">
        <w:rPr>
          <w:rFonts w:ascii="Times New Roman" w:hAnsi="Times New Roman" w:cs="Times New Roman"/>
        </w:rPr>
        <w:t xml:space="preserve"> </w:t>
      </w:r>
      <w:r w:rsidR="00082EF9" w:rsidRPr="00520178">
        <w:rPr>
          <w:rFonts w:ascii="Times New Roman" w:eastAsia="Times New Roman" w:hAnsi="Times New Roman" w:cs="Times New Roman"/>
          <w:sz w:val="24"/>
          <w:szCs w:val="24"/>
          <w:lang w:eastAsia="tr-TR"/>
        </w:rPr>
        <w:t>Bu kapsamda</w:t>
      </w:r>
      <w:r w:rsidR="00082EF9" w:rsidRPr="00520178">
        <w:rPr>
          <w:rFonts w:ascii="Times New Roman" w:hAnsi="Times New Roman" w:cs="Times New Roman"/>
        </w:rPr>
        <w:t xml:space="preserve"> </w:t>
      </w:r>
      <w:r w:rsidR="00F84322"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00F84322" w:rsidRPr="00520178">
        <w:rPr>
          <w:rFonts w:ascii="Times New Roman" w:eastAsia="Times New Roman" w:hAnsi="Times New Roman" w:cs="Times New Roman"/>
          <w:sz w:val="24"/>
          <w:szCs w:val="24"/>
          <w:lang w:eastAsia="tr-TR"/>
        </w:rPr>
        <w:t>-202</w:t>
      </w:r>
      <w:r w:rsidR="0078597E" w:rsidRPr="00520178">
        <w:rPr>
          <w:rFonts w:ascii="Times New Roman" w:eastAsia="Times New Roman" w:hAnsi="Times New Roman" w:cs="Times New Roman"/>
          <w:sz w:val="24"/>
          <w:szCs w:val="24"/>
          <w:lang w:eastAsia="tr-TR"/>
        </w:rPr>
        <w:t>2</w:t>
      </w:r>
      <w:r w:rsidR="00F84322" w:rsidRPr="00520178">
        <w:rPr>
          <w:rFonts w:ascii="Times New Roman" w:eastAsia="Times New Roman" w:hAnsi="Times New Roman" w:cs="Times New Roman"/>
          <w:sz w:val="24"/>
          <w:szCs w:val="24"/>
          <w:lang w:eastAsia="tr-TR"/>
        </w:rPr>
        <w:t xml:space="preserve"> döneminde </w:t>
      </w:r>
      <w:r w:rsidR="00082EF9" w:rsidRPr="00520178">
        <w:rPr>
          <w:rFonts w:ascii="Times New Roman" w:eastAsia="Times New Roman" w:hAnsi="Times New Roman" w:cs="Times New Roman"/>
          <w:sz w:val="24"/>
          <w:szCs w:val="24"/>
          <w:lang w:eastAsia="tr-TR"/>
        </w:rPr>
        <w:t>ka</w:t>
      </w:r>
      <w:r w:rsidR="000E31B9" w:rsidRPr="00520178">
        <w:rPr>
          <w:rFonts w:ascii="Times New Roman" w:eastAsia="Times New Roman" w:hAnsi="Times New Roman" w:cs="Times New Roman"/>
          <w:sz w:val="24"/>
          <w:szCs w:val="24"/>
          <w:lang w:eastAsia="tr-TR"/>
        </w:rPr>
        <w:t>ynakların verimli kullanılması sağlanacak</w:t>
      </w:r>
      <w:r w:rsidR="00082EF9" w:rsidRPr="00520178">
        <w:rPr>
          <w:rFonts w:ascii="Times New Roman" w:eastAsia="Times New Roman" w:hAnsi="Times New Roman" w:cs="Times New Roman"/>
          <w:sz w:val="24"/>
          <w:szCs w:val="24"/>
          <w:lang w:eastAsia="tr-TR"/>
        </w:rPr>
        <w:t xml:space="preserve"> ve belirlenen alanlarda tasarrufu sağlayacak yapısal değişiklikler hayata geçirilecektir. Bütçenin gelir performansının yükseltilmesi amacıyla sürekli ve kalıcı gelir kaynakları </w:t>
      </w:r>
      <w:r w:rsidR="00F36907" w:rsidRPr="00520178">
        <w:rPr>
          <w:rFonts w:ascii="Times New Roman" w:eastAsia="Times New Roman" w:hAnsi="Times New Roman" w:cs="Times New Roman"/>
          <w:sz w:val="24"/>
          <w:szCs w:val="24"/>
          <w:lang w:eastAsia="tr-TR"/>
        </w:rPr>
        <w:t>oluşturulacak</w:t>
      </w:r>
      <w:r w:rsidR="00063C2E" w:rsidRPr="00520178">
        <w:rPr>
          <w:rFonts w:ascii="Times New Roman" w:eastAsia="Times New Roman" w:hAnsi="Times New Roman" w:cs="Times New Roman"/>
          <w:sz w:val="24"/>
          <w:szCs w:val="24"/>
          <w:lang w:eastAsia="tr-TR"/>
        </w:rPr>
        <w:t>,</w:t>
      </w:r>
      <w:r w:rsidR="00082EF9" w:rsidRPr="00520178">
        <w:rPr>
          <w:rFonts w:ascii="Times New Roman" w:eastAsia="Times New Roman" w:hAnsi="Times New Roman" w:cs="Times New Roman"/>
          <w:sz w:val="24"/>
          <w:szCs w:val="24"/>
          <w:lang w:eastAsia="tr-TR"/>
        </w:rPr>
        <w:t xml:space="preserve"> vergi tahsilatında etkinlik artırılacak ve ekonomide kayıt dışılık azaltılacaktır. Böylece kamu borçluluğu düşük düzeylerde tutulacaktır.</w:t>
      </w:r>
      <w:r w:rsidR="00082EF9" w:rsidRPr="00520178">
        <w:rPr>
          <w:rFonts w:ascii="Times New Roman" w:hAnsi="Times New Roman" w:cs="Times New Roman"/>
        </w:rPr>
        <w:t xml:space="preserve"> </w:t>
      </w:r>
      <w:r w:rsidR="00082EF9" w:rsidRPr="00520178">
        <w:rPr>
          <w:rFonts w:ascii="Times New Roman" w:eastAsia="Times New Roman" w:hAnsi="Times New Roman" w:cs="Times New Roman"/>
          <w:sz w:val="24"/>
          <w:szCs w:val="24"/>
          <w:lang w:eastAsia="tr-TR"/>
        </w:rPr>
        <w:t xml:space="preserve">Para </w:t>
      </w:r>
      <w:r w:rsidR="00165F26" w:rsidRPr="00520178">
        <w:rPr>
          <w:rFonts w:ascii="Times New Roman" w:eastAsia="Times New Roman" w:hAnsi="Times New Roman" w:cs="Times New Roman"/>
          <w:sz w:val="24"/>
          <w:szCs w:val="24"/>
          <w:lang w:eastAsia="tr-TR"/>
        </w:rPr>
        <w:t>ve maliye politikaları eşgüdüm içerisinde yürütülecek</w:t>
      </w:r>
      <w:r w:rsidR="008E65A8" w:rsidRPr="00520178">
        <w:rPr>
          <w:rFonts w:ascii="Times New Roman" w:eastAsia="Times New Roman" w:hAnsi="Times New Roman" w:cs="Times New Roman"/>
          <w:sz w:val="24"/>
          <w:szCs w:val="24"/>
          <w:lang w:eastAsia="tr-TR"/>
        </w:rPr>
        <w:t>tir.</w:t>
      </w:r>
      <w:r w:rsidR="00082EF9" w:rsidRPr="00520178">
        <w:rPr>
          <w:rFonts w:ascii="Times New Roman" w:eastAsia="Times New Roman" w:hAnsi="Times New Roman" w:cs="Times New Roman"/>
          <w:sz w:val="24"/>
          <w:szCs w:val="24"/>
          <w:lang w:eastAsia="tr-TR"/>
        </w:rPr>
        <w:t xml:space="preserve"> </w:t>
      </w:r>
    </w:p>
    <w:p w:rsidR="00441052" w:rsidRPr="00520178" w:rsidRDefault="002D5A7B" w:rsidP="0018158B">
      <w:pPr>
        <w:spacing w:before="120" w:after="0"/>
        <w:ind w:firstLine="567"/>
        <w:jc w:val="both"/>
        <w:rPr>
          <w:rFonts w:ascii="Times New Roman" w:eastAsia="Times New Roman" w:hAnsi="Times New Roman" w:cs="Times New Roman"/>
          <w:color w:val="0070C0"/>
          <w:sz w:val="24"/>
          <w:szCs w:val="24"/>
          <w:lang w:eastAsia="tr-TR"/>
        </w:rPr>
      </w:pPr>
      <w:r w:rsidRPr="00520178">
        <w:rPr>
          <w:rFonts w:ascii="Times New Roman" w:eastAsia="Times New Roman" w:hAnsi="Times New Roman" w:cs="Times New Roman"/>
          <w:sz w:val="24"/>
          <w:szCs w:val="24"/>
          <w:lang w:eastAsia="tr-TR"/>
        </w:rPr>
        <w:t>Orta Vadeli Mali Plana dayalı olarak hazırlanacak 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yılları merkezi yönetim bütçesi, kaynakların </w:t>
      </w:r>
      <w:r w:rsidR="004A1056" w:rsidRPr="00520178">
        <w:rPr>
          <w:rFonts w:ascii="Times New Roman" w:eastAsia="Times New Roman" w:hAnsi="Times New Roman" w:cs="Times New Roman"/>
          <w:sz w:val="24"/>
          <w:szCs w:val="24"/>
          <w:lang w:eastAsia="tr-TR"/>
        </w:rPr>
        <w:t xml:space="preserve">belirlenen </w:t>
      </w:r>
      <w:r w:rsidRPr="00520178">
        <w:rPr>
          <w:rFonts w:ascii="Times New Roman" w:eastAsia="Times New Roman" w:hAnsi="Times New Roman" w:cs="Times New Roman"/>
          <w:sz w:val="24"/>
          <w:szCs w:val="24"/>
          <w:lang w:eastAsia="tr-TR"/>
        </w:rPr>
        <w:t>politika önc</w:t>
      </w:r>
      <w:r w:rsidR="004A1056" w:rsidRPr="00520178">
        <w:rPr>
          <w:rFonts w:ascii="Times New Roman" w:eastAsia="Times New Roman" w:hAnsi="Times New Roman" w:cs="Times New Roman"/>
          <w:sz w:val="24"/>
          <w:szCs w:val="24"/>
          <w:lang w:eastAsia="tr-TR"/>
        </w:rPr>
        <w:t>elikleri doğrultusunda tahsisi</w:t>
      </w:r>
      <w:r w:rsidR="00E452F2" w:rsidRPr="00520178">
        <w:rPr>
          <w:rFonts w:ascii="Times New Roman" w:eastAsia="Times New Roman" w:hAnsi="Times New Roman" w:cs="Times New Roman"/>
          <w:sz w:val="24"/>
          <w:szCs w:val="24"/>
          <w:lang w:eastAsia="tr-TR"/>
        </w:rPr>
        <w:t>ni</w:t>
      </w:r>
      <w:r w:rsidR="0027638B" w:rsidRPr="00520178">
        <w:rPr>
          <w:rFonts w:ascii="Times New Roman" w:eastAsia="Times New Roman" w:hAnsi="Times New Roman" w:cs="Times New Roman"/>
          <w:sz w:val="24"/>
          <w:szCs w:val="24"/>
          <w:lang w:eastAsia="tr-TR"/>
        </w:rPr>
        <w:t xml:space="preserve">, </w:t>
      </w:r>
      <w:r w:rsidR="004A1056" w:rsidRPr="00520178">
        <w:rPr>
          <w:rFonts w:ascii="Times New Roman" w:eastAsia="Times New Roman" w:hAnsi="Times New Roman" w:cs="Times New Roman"/>
          <w:sz w:val="24"/>
          <w:szCs w:val="24"/>
          <w:lang w:eastAsia="tr-TR"/>
        </w:rPr>
        <w:t>etkili, ekonomik ve verimli bir şekilde kullanılmasını</w:t>
      </w:r>
      <w:r w:rsidRPr="00520178">
        <w:rPr>
          <w:rFonts w:ascii="Times New Roman" w:eastAsia="Times New Roman" w:hAnsi="Times New Roman" w:cs="Times New Roman"/>
          <w:sz w:val="24"/>
          <w:szCs w:val="24"/>
          <w:lang w:eastAsia="tr-TR"/>
        </w:rPr>
        <w:t xml:space="preserve"> amaçlamaktadır. </w:t>
      </w:r>
      <w:r w:rsidR="00441052" w:rsidRPr="00520178">
        <w:rPr>
          <w:rFonts w:ascii="Times New Roman" w:eastAsia="Times New Roman" w:hAnsi="Times New Roman" w:cs="Times New Roman"/>
          <w:sz w:val="24"/>
          <w:szCs w:val="24"/>
          <w:lang w:eastAsia="tr-TR"/>
        </w:rPr>
        <w:t xml:space="preserve">Mali Plan dönemi boyunca, merkezi yönetim bütçe açığının GSYH’ye oranı yüzde 3’ün altında tutulacak olup buna yönelik olarak </w:t>
      </w:r>
      <w:proofErr w:type="gramStart"/>
      <w:r w:rsidR="00441052" w:rsidRPr="00520178">
        <w:rPr>
          <w:rFonts w:ascii="Times New Roman" w:eastAsia="Times New Roman" w:hAnsi="Times New Roman" w:cs="Times New Roman"/>
          <w:sz w:val="24"/>
          <w:szCs w:val="24"/>
          <w:lang w:eastAsia="tr-TR"/>
        </w:rPr>
        <w:t>merkezi</w:t>
      </w:r>
      <w:proofErr w:type="gramEnd"/>
      <w:r w:rsidR="00441052" w:rsidRPr="00520178">
        <w:rPr>
          <w:rFonts w:ascii="Times New Roman" w:eastAsia="Times New Roman" w:hAnsi="Times New Roman" w:cs="Times New Roman"/>
          <w:sz w:val="24"/>
          <w:szCs w:val="24"/>
          <w:lang w:eastAsia="tr-TR"/>
        </w:rPr>
        <w:t xml:space="preserve"> yönetim bütçesinin uygulama süreci Hazine ve Maliye Bakanlığı ile Strateji ve Bütçe Başkanlığı tarafından yakın işbirliği içerisinde koordineli olarak yürütülecektir</w:t>
      </w:r>
      <w:r w:rsidR="009418AD" w:rsidRPr="00520178">
        <w:rPr>
          <w:rFonts w:ascii="Times New Roman" w:eastAsia="Times New Roman" w:hAnsi="Times New Roman" w:cs="Times New Roman"/>
          <w:sz w:val="24"/>
          <w:szCs w:val="24"/>
          <w:lang w:eastAsia="tr-TR"/>
        </w:rPr>
        <w:t>.</w:t>
      </w:r>
    </w:p>
    <w:p w:rsidR="00503FDF" w:rsidRPr="00520178" w:rsidRDefault="00717C2B" w:rsidP="0018158B">
      <w:pPr>
        <w:spacing w:before="120" w:after="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Mali disiplin, </w:t>
      </w:r>
      <w:r w:rsidR="004C7DAF" w:rsidRPr="00520178">
        <w:rPr>
          <w:rFonts w:ascii="Times New Roman" w:eastAsia="Times New Roman" w:hAnsi="Times New Roman" w:cs="Times New Roman"/>
          <w:sz w:val="24"/>
          <w:szCs w:val="24"/>
          <w:lang w:eastAsia="tr-TR"/>
        </w:rPr>
        <w:t xml:space="preserve">ekonomik </w:t>
      </w:r>
      <w:r w:rsidR="009418AD" w:rsidRPr="00520178">
        <w:rPr>
          <w:rFonts w:ascii="Times New Roman" w:eastAsia="Times New Roman" w:hAnsi="Times New Roman" w:cs="Times New Roman"/>
          <w:sz w:val="24"/>
          <w:szCs w:val="24"/>
          <w:lang w:eastAsia="tr-TR"/>
        </w:rPr>
        <w:t>değişim</w:t>
      </w:r>
      <w:r w:rsidR="004C7DAF" w:rsidRPr="00520178">
        <w:rPr>
          <w:rFonts w:ascii="Times New Roman" w:eastAsia="Times New Roman" w:hAnsi="Times New Roman" w:cs="Times New Roman"/>
          <w:color w:val="FF0000"/>
          <w:sz w:val="24"/>
          <w:szCs w:val="24"/>
          <w:lang w:eastAsia="tr-TR"/>
        </w:rPr>
        <w:t xml:space="preserve"> </w:t>
      </w:r>
      <w:r w:rsidR="004C7DAF" w:rsidRPr="00520178">
        <w:rPr>
          <w:rFonts w:ascii="Times New Roman" w:eastAsia="Times New Roman" w:hAnsi="Times New Roman" w:cs="Times New Roman"/>
          <w:sz w:val="24"/>
          <w:szCs w:val="24"/>
          <w:lang w:eastAsia="tr-TR"/>
        </w:rPr>
        <w:t>sürecinin en temel destekleyicisi</w:t>
      </w:r>
      <w:r w:rsidR="009418AD" w:rsidRPr="00520178">
        <w:rPr>
          <w:rFonts w:ascii="Times New Roman" w:eastAsia="Times New Roman" w:hAnsi="Times New Roman" w:cs="Times New Roman"/>
          <w:sz w:val="24"/>
          <w:szCs w:val="24"/>
          <w:lang w:eastAsia="tr-TR"/>
        </w:rPr>
        <w:t xml:space="preserve"> </w:t>
      </w:r>
      <w:r w:rsidR="00A94419" w:rsidRPr="00520178">
        <w:rPr>
          <w:rFonts w:ascii="Times New Roman" w:eastAsia="Times New Roman" w:hAnsi="Times New Roman" w:cs="Times New Roman"/>
          <w:sz w:val="24"/>
          <w:szCs w:val="24"/>
          <w:lang w:eastAsia="tr-TR"/>
        </w:rPr>
        <w:t xml:space="preserve">olmaya devam edecektir. </w:t>
      </w:r>
      <w:r w:rsidR="007C6C67" w:rsidRPr="00520178">
        <w:rPr>
          <w:rFonts w:ascii="Times New Roman" w:eastAsia="Times New Roman" w:hAnsi="Times New Roman" w:cs="Times New Roman"/>
          <w:sz w:val="24"/>
          <w:szCs w:val="24"/>
          <w:lang w:eastAsia="tr-TR"/>
        </w:rPr>
        <w:t xml:space="preserve">Harcama gözden geçirmeleri sonucunda verimsiz harcama alanları tasfiye edilecek, bu yolla oluşturulacak mali alanın öncelikli harcama alanlarına tahsis edilmesi sağlanacaktır. </w:t>
      </w:r>
      <w:r w:rsidRPr="00520178">
        <w:rPr>
          <w:rFonts w:ascii="Times New Roman" w:eastAsia="Times New Roman" w:hAnsi="Times New Roman" w:cs="Times New Roman"/>
          <w:sz w:val="24"/>
          <w:szCs w:val="24"/>
          <w:lang w:eastAsia="tr-TR"/>
        </w:rPr>
        <w:t xml:space="preserve">Süreklilik arz etmeyen ve </w:t>
      </w:r>
      <w:proofErr w:type="gramStart"/>
      <w:r w:rsidRPr="00520178">
        <w:rPr>
          <w:rFonts w:ascii="Times New Roman" w:eastAsia="Times New Roman" w:hAnsi="Times New Roman" w:cs="Times New Roman"/>
          <w:sz w:val="24"/>
          <w:szCs w:val="24"/>
          <w:lang w:eastAsia="tr-TR"/>
        </w:rPr>
        <w:t>konjonktüre</w:t>
      </w:r>
      <w:proofErr w:type="gramEnd"/>
      <w:r w:rsidRPr="00520178">
        <w:rPr>
          <w:rFonts w:ascii="Times New Roman" w:eastAsia="Times New Roman" w:hAnsi="Times New Roman" w:cs="Times New Roman"/>
          <w:sz w:val="24"/>
          <w:szCs w:val="24"/>
          <w:lang w:eastAsia="tr-TR"/>
        </w:rPr>
        <w:t xml:space="preserve"> dayalı gelirlerin oluşturduğu geçici kaynaklara karşılık </w:t>
      </w:r>
      <w:r w:rsidR="0027638B" w:rsidRPr="00520178">
        <w:rPr>
          <w:rFonts w:ascii="Times New Roman" w:eastAsia="Times New Roman" w:hAnsi="Times New Roman" w:cs="Times New Roman"/>
          <w:sz w:val="24"/>
          <w:szCs w:val="24"/>
          <w:lang w:eastAsia="tr-TR"/>
        </w:rPr>
        <w:t xml:space="preserve">olarak </w:t>
      </w:r>
      <w:r w:rsidRPr="00520178">
        <w:rPr>
          <w:rFonts w:ascii="Times New Roman" w:eastAsia="Times New Roman" w:hAnsi="Times New Roman" w:cs="Times New Roman"/>
          <w:sz w:val="24"/>
          <w:szCs w:val="24"/>
          <w:lang w:eastAsia="tr-TR"/>
        </w:rPr>
        <w:t xml:space="preserve">kalıcı mahiyette harcama oluşturulmayacaktır. </w:t>
      </w:r>
      <w:r w:rsidR="009E71B8" w:rsidRPr="00520178">
        <w:rPr>
          <w:rFonts w:ascii="Times New Roman" w:eastAsia="Times New Roman" w:hAnsi="Times New Roman" w:cs="Times New Roman"/>
          <w:sz w:val="24"/>
          <w:szCs w:val="24"/>
          <w:lang w:eastAsia="tr-TR"/>
        </w:rPr>
        <w:t xml:space="preserve">Kamu yatırım, harcama, </w:t>
      </w:r>
      <w:r w:rsidR="00621D9A" w:rsidRPr="00520178">
        <w:rPr>
          <w:rFonts w:ascii="Times New Roman" w:eastAsia="Times New Roman" w:hAnsi="Times New Roman" w:cs="Times New Roman"/>
          <w:sz w:val="24"/>
          <w:szCs w:val="24"/>
          <w:lang w:eastAsia="tr-TR"/>
        </w:rPr>
        <w:t>teş</w:t>
      </w:r>
      <w:r w:rsidR="00816F1C" w:rsidRPr="00520178">
        <w:rPr>
          <w:rFonts w:ascii="Times New Roman" w:eastAsia="Times New Roman" w:hAnsi="Times New Roman" w:cs="Times New Roman"/>
          <w:sz w:val="24"/>
          <w:szCs w:val="24"/>
          <w:lang w:eastAsia="tr-TR"/>
        </w:rPr>
        <w:t>vik ve desteklerin</w:t>
      </w:r>
      <w:r w:rsidR="00621D9A" w:rsidRPr="00520178">
        <w:rPr>
          <w:rFonts w:ascii="Times New Roman" w:eastAsia="Times New Roman" w:hAnsi="Times New Roman" w:cs="Times New Roman"/>
          <w:sz w:val="24"/>
          <w:szCs w:val="24"/>
          <w:lang w:eastAsia="tr-TR"/>
        </w:rPr>
        <w:t xml:space="preserve"> etkinliği artırılacaktır. </w:t>
      </w:r>
    </w:p>
    <w:p w:rsidR="00236202" w:rsidRPr="00520178" w:rsidRDefault="00236202" w:rsidP="0018158B">
      <w:pPr>
        <w:spacing w:before="120" w:after="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Beşeri sermayenin güçlendirilmesi, kapsayıcı büyüme yaklaşımının belirgin bir biçimde hayata geçirilmesi ve refahın toplumun tüm kesi</w:t>
      </w:r>
      <w:r w:rsidR="0093464D" w:rsidRPr="00520178">
        <w:rPr>
          <w:rFonts w:ascii="Times New Roman" w:eastAsia="Times New Roman" w:hAnsi="Times New Roman" w:cs="Times New Roman"/>
          <w:sz w:val="24"/>
          <w:szCs w:val="24"/>
          <w:lang w:eastAsia="tr-TR"/>
        </w:rPr>
        <w:t xml:space="preserve">mlerine yaygınlaştırılmasına </w:t>
      </w:r>
      <w:r w:rsidRPr="00520178">
        <w:rPr>
          <w:rFonts w:ascii="Times New Roman" w:eastAsia="Times New Roman" w:hAnsi="Times New Roman" w:cs="Times New Roman"/>
          <w:sz w:val="24"/>
          <w:szCs w:val="24"/>
          <w:lang w:eastAsia="tr-TR"/>
        </w:rPr>
        <w:t>yönelik politikalar</w:t>
      </w:r>
      <w:r w:rsidR="0093464D" w:rsidRPr="00520178">
        <w:rPr>
          <w:rFonts w:ascii="Times New Roman" w:eastAsia="Times New Roman" w:hAnsi="Times New Roman" w:cs="Times New Roman"/>
          <w:sz w:val="24"/>
          <w:szCs w:val="24"/>
          <w:lang w:eastAsia="tr-TR"/>
        </w:rPr>
        <w:t>ın uygulanmasına</w:t>
      </w:r>
      <w:r w:rsidRPr="00520178">
        <w:rPr>
          <w:rFonts w:ascii="Times New Roman" w:eastAsia="Times New Roman" w:hAnsi="Times New Roman" w:cs="Times New Roman"/>
          <w:sz w:val="24"/>
          <w:szCs w:val="24"/>
          <w:lang w:eastAsia="tr-TR"/>
        </w:rPr>
        <w:t xml:space="preserve"> devam edilecektir. </w:t>
      </w:r>
    </w:p>
    <w:p w:rsidR="00236202" w:rsidRDefault="00236202" w:rsidP="00787205">
      <w:pPr>
        <w:spacing w:before="120" w:after="0"/>
        <w:ind w:firstLine="709"/>
        <w:jc w:val="both"/>
        <w:rPr>
          <w:rFonts w:ascii="Times New Roman" w:eastAsia="Times New Roman" w:hAnsi="Times New Roman" w:cs="Times New Roman"/>
          <w:sz w:val="24"/>
          <w:szCs w:val="24"/>
          <w:lang w:eastAsia="tr-TR"/>
        </w:rPr>
      </w:pPr>
    </w:p>
    <w:p w:rsidR="0095407F" w:rsidRPr="00520178" w:rsidRDefault="0095407F" w:rsidP="00787205">
      <w:pPr>
        <w:spacing w:before="120" w:after="0"/>
        <w:ind w:firstLine="709"/>
        <w:jc w:val="both"/>
        <w:rPr>
          <w:rFonts w:ascii="Times New Roman" w:eastAsia="Times New Roman" w:hAnsi="Times New Roman" w:cs="Times New Roman"/>
          <w:sz w:val="24"/>
          <w:szCs w:val="24"/>
          <w:lang w:eastAsia="tr-TR"/>
        </w:rPr>
      </w:pPr>
    </w:p>
    <w:p w:rsidR="002D5A7B" w:rsidRPr="00520178" w:rsidRDefault="002D5A7B" w:rsidP="0018158B">
      <w:pPr>
        <w:spacing w:before="120" w:after="24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lastRenderedPageBreak/>
        <w:t>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dönemi merkezi yönetim bütçesinin hazırlığına esas teşkil edecek temel makroekonomik göstergeler, gelir ve gider tahminleri, hedef bütçe açığı ve açık finansmanı ile genel ve özel bütçeli idarelerin ödenek teklif tavanlarına Mali Planın izleyen bölümlerinde yer verilmiştir. Kamu idareleri, Orta Vadeli Program ile Orta Vadeli Mali Planda yer alan politika önceliklerini, makroekonomik göstergeleri ve ödenek tavanlarını esas almak suretiyle, çok yıllı bütçeleme anlayışına uygun olarak kendi kurumsal önceliklerini belirleyecek ve 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 20</w:t>
      </w:r>
      <w:r w:rsidR="00750F80"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1</w:t>
      </w:r>
      <w:r w:rsidRPr="00520178">
        <w:rPr>
          <w:rFonts w:ascii="Times New Roman" w:eastAsia="Times New Roman" w:hAnsi="Times New Roman" w:cs="Times New Roman"/>
          <w:sz w:val="24"/>
          <w:szCs w:val="24"/>
          <w:lang w:eastAsia="tr-TR"/>
        </w:rPr>
        <w:t xml:space="preserve"> ve 20</w:t>
      </w:r>
      <w:r w:rsidR="00750F80"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yılları için bütçe tekliflerini sunacaklardır.</w:t>
      </w:r>
    </w:p>
    <w:p w:rsidR="002D5A7B" w:rsidRPr="00520178" w:rsidRDefault="002D5A7B" w:rsidP="00EA095B">
      <w:pPr>
        <w:pStyle w:val="ListeParagraf"/>
        <w:numPr>
          <w:ilvl w:val="0"/>
          <w:numId w:val="21"/>
        </w:numPr>
        <w:tabs>
          <w:tab w:val="left" w:pos="851"/>
        </w:tabs>
        <w:spacing w:after="120"/>
        <w:ind w:left="0" w:firstLine="567"/>
        <w:contextualSpacing w:val="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MERKEZİ YÖNETİM BÜTÇESİNİN DAYANDIĞI TEMEL MAKROEKONOMİK GÖSTERGELER VE POLİTİKALAR</w:t>
      </w:r>
    </w:p>
    <w:p w:rsidR="002D5A7B" w:rsidRPr="00520178" w:rsidRDefault="002D5A7B" w:rsidP="00EA095B">
      <w:pPr>
        <w:pStyle w:val="ListeParagraf"/>
        <w:numPr>
          <w:ilvl w:val="1"/>
          <w:numId w:val="21"/>
        </w:numPr>
        <w:tabs>
          <w:tab w:val="left" w:pos="900"/>
        </w:tabs>
        <w:spacing w:before="240" w:after="120"/>
        <w:ind w:left="992" w:hanging="425"/>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Temel Makroekonomik Göstergeler</w:t>
      </w:r>
    </w:p>
    <w:p w:rsidR="002D5A7B" w:rsidRPr="00520178" w:rsidRDefault="00510DD3" w:rsidP="0018158B">
      <w:pPr>
        <w:tabs>
          <w:tab w:val="left" w:pos="567"/>
        </w:tabs>
        <w:spacing w:after="12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color w:val="4F81BD" w:themeColor="accent1"/>
          <w:sz w:val="24"/>
          <w:szCs w:val="24"/>
          <w:lang w:eastAsia="tr-TR"/>
        </w:rPr>
        <w:tab/>
      </w:r>
      <w:r w:rsidR="002D5A7B"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002D5A7B" w:rsidRPr="00520178">
        <w:rPr>
          <w:rFonts w:ascii="Times New Roman" w:eastAsia="Times New Roman" w:hAnsi="Times New Roman" w:cs="Times New Roman"/>
          <w:sz w:val="24"/>
          <w:szCs w:val="24"/>
          <w:lang w:eastAsia="tr-TR"/>
        </w:rPr>
        <w:t>-20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00407FE9" w:rsidRPr="00520178">
        <w:rPr>
          <w:rFonts w:ascii="Times New Roman" w:eastAsia="Times New Roman" w:hAnsi="Times New Roman" w:cs="Times New Roman"/>
          <w:sz w:val="24"/>
          <w:szCs w:val="24"/>
          <w:lang w:eastAsia="tr-TR"/>
        </w:rPr>
        <w:t xml:space="preserve"> </w:t>
      </w:r>
      <w:r w:rsidR="002D5A7B" w:rsidRPr="00520178">
        <w:rPr>
          <w:rFonts w:ascii="Times New Roman" w:eastAsia="Times New Roman" w:hAnsi="Times New Roman" w:cs="Times New Roman"/>
          <w:sz w:val="24"/>
          <w:szCs w:val="24"/>
          <w:lang w:eastAsia="tr-TR"/>
        </w:rPr>
        <w:t>dönemi merkezi yönetim bütçesi gelir ve gider tahminlerinin belirlenmesinde, Orta Vadeli Programda öngörülen ve Tablo 1’de yer alan makroekonomik göstergeler esas alınmıştır. Kamu idareleri tarafından 20</w:t>
      </w:r>
      <w:r w:rsidR="0078597E" w:rsidRPr="00520178">
        <w:rPr>
          <w:rFonts w:ascii="Times New Roman" w:eastAsia="Times New Roman" w:hAnsi="Times New Roman" w:cs="Times New Roman"/>
          <w:sz w:val="24"/>
          <w:szCs w:val="24"/>
          <w:lang w:eastAsia="tr-TR"/>
        </w:rPr>
        <w:t>20</w:t>
      </w:r>
      <w:r w:rsidR="002D5A7B" w:rsidRPr="00520178">
        <w:rPr>
          <w:rFonts w:ascii="Times New Roman" w:eastAsia="Times New Roman" w:hAnsi="Times New Roman" w:cs="Times New Roman"/>
          <w:sz w:val="24"/>
          <w:szCs w:val="24"/>
          <w:lang w:eastAsia="tr-TR"/>
        </w:rPr>
        <w:t>, 20</w:t>
      </w:r>
      <w:r w:rsidR="00750F80"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1</w:t>
      </w:r>
      <w:r w:rsidR="002D5A7B" w:rsidRPr="00520178">
        <w:rPr>
          <w:rFonts w:ascii="Times New Roman" w:eastAsia="Times New Roman" w:hAnsi="Times New Roman" w:cs="Times New Roman"/>
          <w:sz w:val="24"/>
          <w:szCs w:val="24"/>
          <w:lang w:eastAsia="tr-TR"/>
        </w:rPr>
        <w:t xml:space="preserve"> ve 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002D5A7B" w:rsidRPr="00520178">
        <w:rPr>
          <w:rFonts w:ascii="Times New Roman" w:eastAsia="Times New Roman" w:hAnsi="Times New Roman" w:cs="Times New Roman"/>
          <w:sz w:val="24"/>
          <w:szCs w:val="24"/>
          <w:lang w:eastAsia="tr-TR"/>
        </w:rPr>
        <w:t xml:space="preserve"> yıllarına ilişkin olarak sunulacak bütçe tekliflerinde söz konusu göstergeler dikkate alınacaktır. </w:t>
      </w:r>
    </w:p>
    <w:p w:rsidR="002D5A7B" w:rsidRPr="00520178" w:rsidRDefault="002D5A7B" w:rsidP="00FF6634">
      <w:pPr>
        <w:spacing w:after="120"/>
        <w:ind w:firstLine="567"/>
        <w:jc w:val="both"/>
        <w:outlineLvl w:val="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Tablo 1- Temel Makroekonomik Göstergeler</w:t>
      </w:r>
      <w:r w:rsidR="00D274F6" w:rsidRPr="00520178">
        <w:rPr>
          <w:rFonts w:ascii="Times New Roman" w:eastAsia="Times New Roman" w:hAnsi="Times New Roman" w:cs="Times New Roman"/>
          <w:b/>
          <w:sz w:val="24"/>
          <w:szCs w:val="24"/>
          <w:lang w:eastAsia="tr-TR"/>
        </w:rPr>
        <w:t xml:space="preserve"> </w:t>
      </w:r>
    </w:p>
    <w:tbl>
      <w:tblPr>
        <w:tblW w:w="86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843"/>
        <w:gridCol w:w="1269"/>
        <w:gridCol w:w="1269"/>
        <w:gridCol w:w="1269"/>
      </w:tblGrid>
      <w:tr w:rsidR="00932F51" w:rsidRPr="00520178" w:rsidTr="00E3694C">
        <w:trPr>
          <w:trHeight w:val="170"/>
          <w:jc w:val="center"/>
        </w:trPr>
        <w:tc>
          <w:tcPr>
            <w:tcW w:w="4330" w:type="dxa"/>
            <w:noWrap/>
            <w:vAlign w:val="bottom"/>
          </w:tcPr>
          <w:p w:rsidR="002D5A7B" w:rsidRPr="00520178" w:rsidRDefault="002D5A7B" w:rsidP="00933401">
            <w:pPr>
              <w:spacing w:after="0"/>
              <w:jc w:val="center"/>
              <w:rPr>
                <w:rFonts w:ascii="Times New Roman" w:eastAsia="Batang" w:hAnsi="Times New Roman" w:cs="Times New Roman"/>
                <w:b/>
                <w:bCs/>
                <w:sz w:val="24"/>
                <w:szCs w:val="24"/>
                <w:lang w:eastAsia="ko-KR"/>
              </w:rPr>
            </w:pPr>
          </w:p>
        </w:tc>
        <w:tc>
          <w:tcPr>
            <w:tcW w:w="1134" w:type="dxa"/>
            <w:noWrap/>
            <w:vAlign w:val="center"/>
            <w:hideMark/>
          </w:tcPr>
          <w:p w:rsidR="002D5A7B" w:rsidRPr="00520178" w:rsidRDefault="002D5A7B" w:rsidP="0078597E">
            <w:pPr>
              <w:spacing w:after="0"/>
              <w:jc w:val="center"/>
              <w:rPr>
                <w:rFonts w:ascii="Times New Roman" w:eastAsia="Batang" w:hAnsi="Times New Roman" w:cs="Times New Roman"/>
                <w:b/>
                <w:bCs/>
                <w:sz w:val="24"/>
                <w:szCs w:val="24"/>
                <w:lang w:eastAsia="ko-KR"/>
              </w:rPr>
            </w:pPr>
            <w:r w:rsidRPr="00520178">
              <w:rPr>
                <w:rFonts w:ascii="Times New Roman" w:eastAsia="Batang" w:hAnsi="Times New Roman" w:cs="Times New Roman"/>
                <w:b/>
                <w:bCs/>
                <w:sz w:val="24"/>
                <w:szCs w:val="24"/>
                <w:lang w:eastAsia="ko-KR"/>
              </w:rPr>
              <w:t>20</w:t>
            </w:r>
            <w:r w:rsidR="0078597E" w:rsidRPr="00520178">
              <w:rPr>
                <w:rFonts w:ascii="Times New Roman" w:eastAsia="Batang" w:hAnsi="Times New Roman" w:cs="Times New Roman"/>
                <w:b/>
                <w:bCs/>
                <w:sz w:val="24"/>
                <w:szCs w:val="24"/>
                <w:lang w:eastAsia="ko-KR"/>
              </w:rPr>
              <w:t>20</w:t>
            </w:r>
          </w:p>
        </w:tc>
        <w:tc>
          <w:tcPr>
            <w:tcW w:w="1134" w:type="dxa"/>
            <w:noWrap/>
            <w:vAlign w:val="center"/>
            <w:hideMark/>
          </w:tcPr>
          <w:p w:rsidR="002D5A7B" w:rsidRPr="00520178" w:rsidRDefault="002D5A7B" w:rsidP="0078597E">
            <w:pPr>
              <w:spacing w:after="0"/>
              <w:jc w:val="center"/>
              <w:rPr>
                <w:rFonts w:ascii="Times New Roman" w:eastAsia="Batang" w:hAnsi="Times New Roman" w:cs="Times New Roman"/>
                <w:b/>
                <w:bCs/>
                <w:sz w:val="24"/>
                <w:szCs w:val="24"/>
                <w:lang w:eastAsia="ko-KR"/>
              </w:rPr>
            </w:pPr>
            <w:r w:rsidRPr="00520178">
              <w:rPr>
                <w:rFonts w:ascii="Times New Roman" w:eastAsia="Batang" w:hAnsi="Times New Roman" w:cs="Times New Roman"/>
                <w:b/>
                <w:bCs/>
                <w:sz w:val="24"/>
                <w:szCs w:val="24"/>
                <w:lang w:eastAsia="ko-KR"/>
              </w:rPr>
              <w:t>20</w:t>
            </w:r>
            <w:r w:rsidR="0078597E" w:rsidRPr="00520178">
              <w:rPr>
                <w:rFonts w:ascii="Times New Roman" w:eastAsia="Batang" w:hAnsi="Times New Roman" w:cs="Times New Roman"/>
                <w:b/>
                <w:bCs/>
                <w:sz w:val="24"/>
                <w:szCs w:val="24"/>
                <w:lang w:eastAsia="ko-KR"/>
              </w:rPr>
              <w:t>21</w:t>
            </w:r>
          </w:p>
        </w:tc>
        <w:tc>
          <w:tcPr>
            <w:tcW w:w="1134" w:type="dxa"/>
            <w:noWrap/>
            <w:vAlign w:val="center"/>
            <w:hideMark/>
          </w:tcPr>
          <w:p w:rsidR="002D5A7B" w:rsidRPr="00520178" w:rsidRDefault="002D5A7B" w:rsidP="0078597E">
            <w:pPr>
              <w:spacing w:after="0"/>
              <w:jc w:val="center"/>
              <w:rPr>
                <w:rFonts w:ascii="Times New Roman" w:eastAsia="Batang" w:hAnsi="Times New Roman" w:cs="Times New Roman"/>
                <w:b/>
                <w:bCs/>
                <w:sz w:val="24"/>
                <w:szCs w:val="24"/>
                <w:lang w:eastAsia="ko-KR"/>
              </w:rPr>
            </w:pPr>
            <w:r w:rsidRPr="00520178">
              <w:rPr>
                <w:rFonts w:ascii="Times New Roman" w:eastAsia="Batang" w:hAnsi="Times New Roman" w:cs="Times New Roman"/>
                <w:b/>
                <w:bCs/>
                <w:sz w:val="24"/>
                <w:szCs w:val="24"/>
                <w:lang w:eastAsia="ko-KR"/>
              </w:rPr>
              <w:t>20</w:t>
            </w:r>
            <w:r w:rsidR="0078597E" w:rsidRPr="00520178">
              <w:rPr>
                <w:rFonts w:ascii="Times New Roman" w:eastAsia="Batang" w:hAnsi="Times New Roman" w:cs="Times New Roman"/>
                <w:b/>
                <w:bCs/>
                <w:sz w:val="24"/>
                <w:szCs w:val="24"/>
                <w:lang w:eastAsia="ko-KR"/>
              </w:rPr>
              <w:t>22</w:t>
            </w:r>
          </w:p>
        </w:tc>
      </w:tr>
      <w:tr w:rsidR="00932F51" w:rsidRPr="00520178" w:rsidTr="00E3694C">
        <w:trPr>
          <w:trHeight w:val="170"/>
          <w:jc w:val="center"/>
        </w:trPr>
        <w:tc>
          <w:tcPr>
            <w:tcW w:w="4330" w:type="dxa"/>
            <w:noWrap/>
            <w:vAlign w:val="bottom"/>
            <w:hideMark/>
          </w:tcPr>
          <w:p w:rsidR="002D5A7B" w:rsidRPr="00520178" w:rsidRDefault="002D5A7B" w:rsidP="007936DD">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GSYH Büyümesi (%, </w:t>
            </w:r>
            <w:r w:rsidR="007936DD" w:rsidRPr="00520178">
              <w:rPr>
                <w:rFonts w:ascii="Times New Roman" w:eastAsia="Times New Roman" w:hAnsi="Times New Roman" w:cs="Times New Roman"/>
                <w:sz w:val="24"/>
                <w:szCs w:val="24"/>
                <w:lang w:eastAsia="tr-TR"/>
              </w:rPr>
              <w:t>Zincirlenmiş Hacim</w:t>
            </w:r>
            <w:r w:rsidRPr="00520178">
              <w:rPr>
                <w:rFonts w:ascii="Times New Roman" w:eastAsia="Times New Roman" w:hAnsi="Times New Roman" w:cs="Times New Roman"/>
                <w:sz w:val="24"/>
                <w:szCs w:val="24"/>
                <w:lang w:eastAsia="tr-TR"/>
              </w:rPr>
              <w:t>)</w:t>
            </w:r>
          </w:p>
        </w:tc>
        <w:tc>
          <w:tcPr>
            <w:tcW w:w="1134" w:type="dxa"/>
            <w:noWrap/>
            <w:vAlign w:val="bottom"/>
          </w:tcPr>
          <w:p w:rsidR="002D5A7B" w:rsidRPr="00520178" w:rsidRDefault="003A1A8E" w:rsidP="006F107A">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5,0</w:t>
            </w:r>
          </w:p>
        </w:tc>
        <w:tc>
          <w:tcPr>
            <w:tcW w:w="1134" w:type="dxa"/>
            <w:noWrap/>
            <w:vAlign w:val="bottom"/>
          </w:tcPr>
          <w:p w:rsidR="002D5A7B" w:rsidRPr="00520178" w:rsidRDefault="003A1A8E" w:rsidP="0093340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5,0</w:t>
            </w:r>
          </w:p>
        </w:tc>
        <w:tc>
          <w:tcPr>
            <w:tcW w:w="1134" w:type="dxa"/>
            <w:noWrap/>
            <w:vAlign w:val="bottom"/>
          </w:tcPr>
          <w:p w:rsidR="002D5A7B" w:rsidRPr="00520178" w:rsidRDefault="003A1A8E" w:rsidP="00C17F4B">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5,0</w:t>
            </w:r>
          </w:p>
        </w:tc>
      </w:tr>
      <w:tr w:rsidR="00932F51" w:rsidRPr="00520178" w:rsidTr="00E3694C">
        <w:trPr>
          <w:trHeight w:val="170"/>
          <w:jc w:val="center"/>
        </w:trPr>
        <w:tc>
          <w:tcPr>
            <w:tcW w:w="4330" w:type="dxa"/>
            <w:noWrap/>
            <w:vAlign w:val="bottom"/>
            <w:hideMark/>
          </w:tcPr>
          <w:p w:rsidR="002D5A7B" w:rsidRPr="00520178" w:rsidRDefault="002D5A7B"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GSYH (Milyar TL, Cari Fiyatlarla)</w:t>
            </w:r>
          </w:p>
        </w:tc>
        <w:tc>
          <w:tcPr>
            <w:tcW w:w="1134" w:type="dxa"/>
            <w:noWrap/>
            <w:vAlign w:val="bottom"/>
          </w:tcPr>
          <w:p w:rsidR="002D5A7B" w:rsidRPr="00520178" w:rsidRDefault="003A1A8E" w:rsidP="0093340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4.872</w:t>
            </w:r>
          </w:p>
        </w:tc>
        <w:tc>
          <w:tcPr>
            <w:tcW w:w="1134" w:type="dxa"/>
            <w:noWrap/>
            <w:vAlign w:val="bottom"/>
          </w:tcPr>
          <w:p w:rsidR="002D5A7B" w:rsidRPr="00520178" w:rsidRDefault="003A1A8E" w:rsidP="006F107A">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5.484</w:t>
            </w:r>
          </w:p>
        </w:tc>
        <w:tc>
          <w:tcPr>
            <w:tcW w:w="1134" w:type="dxa"/>
            <w:noWrap/>
            <w:vAlign w:val="bottom"/>
          </w:tcPr>
          <w:p w:rsidR="002D5A7B" w:rsidRPr="00520178" w:rsidRDefault="003A1A8E" w:rsidP="006F107A">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6.070</w:t>
            </w:r>
          </w:p>
        </w:tc>
      </w:tr>
      <w:tr w:rsidR="0020312C" w:rsidRPr="00520178" w:rsidTr="00E3694C">
        <w:trPr>
          <w:trHeight w:val="170"/>
          <w:jc w:val="center"/>
        </w:trPr>
        <w:tc>
          <w:tcPr>
            <w:tcW w:w="4330" w:type="dxa"/>
            <w:noWrap/>
            <w:vAlign w:val="bottom"/>
            <w:hideMark/>
          </w:tcPr>
          <w:p w:rsidR="002D5A7B" w:rsidRPr="00520178" w:rsidRDefault="002D5A7B"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TÜFE Yılsonu (%)</w:t>
            </w:r>
          </w:p>
        </w:tc>
        <w:tc>
          <w:tcPr>
            <w:tcW w:w="1134" w:type="dxa"/>
            <w:noWrap/>
            <w:vAlign w:val="bottom"/>
          </w:tcPr>
          <w:p w:rsidR="002D5A7B" w:rsidRPr="00520178" w:rsidRDefault="003A1A8E" w:rsidP="0093340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8,5</w:t>
            </w:r>
          </w:p>
        </w:tc>
        <w:tc>
          <w:tcPr>
            <w:tcW w:w="1134" w:type="dxa"/>
            <w:noWrap/>
            <w:vAlign w:val="bottom"/>
          </w:tcPr>
          <w:p w:rsidR="002D5A7B" w:rsidRPr="00520178" w:rsidRDefault="003A1A8E" w:rsidP="0093340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6,0</w:t>
            </w:r>
          </w:p>
        </w:tc>
        <w:tc>
          <w:tcPr>
            <w:tcW w:w="1134" w:type="dxa"/>
            <w:noWrap/>
            <w:vAlign w:val="bottom"/>
          </w:tcPr>
          <w:p w:rsidR="002D5A7B" w:rsidRPr="00520178" w:rsidRDefault="003A1A8E" w:rsidP="0093340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4,9</w:t>
            </w:r>
          </w:p>
        </w:tc>
      </w:tr>
    </w:tbl>
    <w:p w:rsidR="002D5A7B" w:rsidRPr="00520178" w:rsidRDefault="002D5A7B" w:rsidP="00EA095B">
      <w:pPr>
        <w:pStyle w:val="ListeParagraf"/>
        <w:numPr>
          <w:ilvl w:val="1"/>
          <w:numId w:val="21"/>
        </w:numPr>
        <w:tabs>
          <w:tab w:val="left" w:pos="900"/>
        </w:tabs>
        <w:spacing w:before="240" w:after="120"/>
        <w:ind w:left="992" w:hanging="425"/>
        <w:contextualSpacing w:val="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Bütçe Giderlerine İlişkin Temel Politikalar</w:t>
      </w:r>
    </w:p>
    <w:p w:rsidR="00FD456B" w:rsidRPr="00520178" w:rsidRDefault="00D041E7" w:rsidP="00725390">
      <w:pPr>
        <w:pStyle w:val="ListeParagraf"/>
        <w:numPr>
          <w:ilvl w:val="0"/>
          <w:numId w:val="26"/>
        </w:numPr>
        <w:tabs>
          <w:tab w:val="left" w:pos="851"/>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w:t>
      </w:r>
      <w:r w:rsidR="002D5A7B" w:rsidRPr="00520178">
        <w:rPr>
          <w:rFonts w:ascii="Times New Roman" w:eastAsia="Times New Roman" w:hAnsi="Times New Roman" w:cs="Times New Roman"/>
          <w:sz w:val="24"/>
          <w:szCs w:val="24"/>
          <w:lang w:eastAsia="tr-TR"/>
        </w:rPr>
        <w:t xml:space="preserve">döneminde, kamu harcama politikasının çok yıllı bütçeleme yaklaşımı </w:t>
      </w:r>
      <w:r w:rsidR="005E6868" w:rsidRPr="00520178">
        <w:rPr>
          <w:rFonts w:ascii="Times New Roman" w:eastAsia="Times New Roman" w:hAnsi="Times New Roman" w:cs="Times New Roman"/>
          <w:sz w:val="24"/>
          <w:szCs w:val="24"/>
          <w:lang w:eastAsia="tr-TR"/>
        </w:rPr>
        <w:t>çerçevesinde</w:t>
      </w:r>
      <w:r w:rsidR="002D5A7B" w:rsidRPr="00520178">
        <w:rPr>
          <w:rFonts w:ascii="Times New Roman" w:eastAsia="Times New Roman" w:hAnsi="Times New Roman" w:cs="Times New Roman"/>
          <w:sz w:val="24"/>
          <w:szCs w:val="24"/>
          <w:lang w:eastAsia="tr-TR"/>
        </w:rPr>
        <w:t xml:space="preserve">, </w:t>
      </w:r>
      <w:r w:rsidR="005E6868" w:rsidRPr="00520178">
        <w:rPr>
          <w:rFonts w:ascii="Times New Roman" w:eastAsia="Times New Roman" w:hAnsi="Times New Roman" w:cs="Times New Roman"/>
          <w:sz w:val="24"/>
          <w:szCs w:val="24"/>
          <w:lang w:eastAsia="tr-TR"/>
        </w:rPr>
        <w:t xml:space="preserve">belirlenen politika öncelikleri dikkate alınarak ve </w:t>
      </w:r>
      <w:r w:rsidR="002D5A7B" w:rsidRPr="00520178">
        <w:rPr>
          <w:rFonts w:ascii="Times New Roman" w:eastAsia="Times New Roman" w:hAnsi="Times New Roman" w:cs="Times New Roman"/>
          <w:sz w:val="24"/>
          <w:szCs w:val="24"/>
          <w:lang w:eastAsia="tr-TR"/>
        </w:rPr>
        <w:t xml:space="preserve">kamu idarelerine tahsis edilen ödenek tavanları </w:t>
      </w:r>
      <w:r w:rsidR="005E6868" w:rsidRPr="00520178">
        <w:rPr>
          <w:rFonts w:ascii="Times New Roman" w:eastAsia="Times New Roman" w:hAnsi="Times New Roman" w:cs="Times New Roman"/>
          <w:sz w:val="24"/>
          <w:szCs w:val="24"/>
          <w:lang w:eastAsia="tr-TR"/>
        </w:rPr>
        <w:t xml:space="preserve">doğrultusunda </w:t>
      </w:r>
      <w:r w:rsidR="004B53A7" w:rsidRPr="00520178">
        <w:rPr>
          <w:rFonts w:ascii="Times New Roman" w:eastAsia="Times New Roman" w:hAnsi="Times New Roman" w:cs="Times New Roman"/>
          <w:sz w:val="24"/>
          <w:szCs w:val="24"/>
          <w:lang w:eastAsia="tr-TR"/>
        </w:rPr>
        <w:t xml:space="preserve">yürütülmesi esas olacaktır. </w:t>
      </w:r>
    </w:p>
    <w:p w:rsidR="00717C2B" w:rsidRPr="00520178" w:rsidRDefault="00C17F4B" w:rsidP="00725390">
      <w:pPr>
        <w:pStyle w:val="ListeParagraf"/>
        <w:numPr>
          <w:ilvl w:val="0"/>
          <w:numId w:val="26"/>
        </w:numPr>
        <w:tabs>
          <w:tab w:val="left" w:pos="851"/>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Kamu kaynaklarının kullanımının etkinliğini takip etmeyi kolaylaştıracak, şeffaflığı ve hesap verebilirliği artıracak </w:t>
      </w:r>
      <w:r w:rsidR="00032D79" w:rsidRPr="00520178">
        <w:rPr>
          <w:rFonts w:ascii="Times New Roman" w:eastAsia="Times New Roman" w:hAnsi="Times New Roman" w:cs="Times New Roman"/>
          <w:sz w:val="24"/>
          <w:szCs w:val="24"/>
          <w:lang w:eastAsia="tr-TR"/>
        </w:rPr>
        <w:t xml:space="preserve">program </w:t>
      </w:r>
      <w:proofErr w:type="gramStart"/>
      <w:r w:rsidR="00032D79" w:rsidRPr="00520178">
        <w:rPr>
          <w:rFonts w:ascii="Times New Roman" w:eastAsia="Times New Roman" w:hAnsi="Times New Roman" w:cs="Times New Roman"/>
          <w:sz w:val="24"/>
          <w:szCs w:val="24"/>
          <w:lang w:eastAsia="tr-TR"/>
        </w:rPr>
        <w:t>bazlı</w:t>
      </w:r>
      <w:proofErr w:type="gramEnd"/>
      <w:r w:rsidR="00032D79" w:rsidRPr="00520178">
        <w:rPr>
          <w:rFonts w:ascii="Times New Roman" w:eastAsia="Times New Roman" w:hAnsi="Times New Roman" w:cs="Times New Roman"/>
          <w:sz w:val="24"/>
          <w:szCs w:val="24"/>
          <w:lang w:eastAsia="tr-TR"/>
        </w:rPr>
        <w:t xml:space="preserve"> performans esaslı bütçeleme </w:t>
      </w:r>
      <w:r w:rsidRPr="00520178">
        <w:rPr>
          <w:rFonts w:ascii="Times New Roman" w:eastAsia="Times New Roman" w:hAnsi="Times New Roman" w:cs="Times New Roman"/>
          <w:sz w:val="24"/>
          <w:szCs w:val="24"/>
          <w:lang w:eastAsia="tr-TR"/>
        </w:rPr>
        <w:t>hayata geçirilecektir.</w:t>
      </w:r>
      <w:r w:rsidR="00510DD3" w:rsidRPr="00520178">
        <w:rPr>
          <w:rFonts w:ascii="Times New Roman" w:eastAsia="Times New Roman" w:hAnsi="Times New Roman" w:cs="Times New Roman"/>
          <w:sz w:val="24"/>
          <w:szCs w:val="24"/>
          <w:lang w:eastAsia="tr-TR"/>
        </w:rPr>
        <w:t xml:space="preserve"> </w:t>
      </w:r>
    </w:p>
    <w:p w:rsidR="00A62FFF" w:rsidRPr="00520178" w:rsidRDefault="00A62FFF" w:rsidP="00725390">
      <w:pPr>
        <w:pStyle w:val="ListeParagraf"/>
        <w:numPr>
          <w:ilvl w:val="0"/>
          <w:numId w:val="26"/>
        </w:numPr>
        <w:tabs>
          <w:tab w:val="left" w:pos="851"/>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Kamu harcamalarının değerlendirilmesi, </w:t>
      </w:r>
      <w:proofErr w:type="spellStart"/>
      <w:r w:rsidRPr="00520178">
        <w:rPr>
          <w:rFonts w:ascii="Times New Roman" w:eastAsia="Times New Roman" w:hAnsi="Times New Roman" w:cs="Times New Roman"/>
          <w:sz w:val="24"/>
          <w:szCs w:val="24"/>
          <w:lang w:eastAsia="tr-TR"/>
        </w:rPr>
        <w:t>önceliklendirilmesi</w:t>
      </w:r>
      <w:proofErr w:type="spellEnd"/>
      <w:r w:rsidRPr="00520178">
        <w:rPr>
          <w:rFonts w:ascii="Times New Roman" w:eastAsia="Times New Roman" w:hAnsi="Times New Roman" w:cs="Times New Roman"/>
          <w:sz w:val="24"/>
          <w:szCs w:val="24"/>
          <w:lang w:eastAsia="tr-TR"/>
        </w:rPr>
        <w:t xml:space="preserve"> ve kaynakların etkin kullanımının gözetilmesi amacıyla harcama gözden geçirmeleri yapılacak, harcama programlarının uygulama süreçlerinde etkinlik artırılacak, harcamalar kontrol altında tutulacak ve yeni harcama programı oluşturulması sınırlandırılacaktır.</w:t>
      </w:r>
    </w:p>
    <w:p w:rsidR="009D1CE0" w:rsidRPr="00520178" w:rsidRDefault="00052915" w:rsidP="00725390">
      <w:pPr>
        <w:tabs>
          <w:tab w:val="left" w:pos="851"/>
        </w:tabs>
        <w:autoSpaceDE w:val="0"/>
        <w:autoSpaceDN w:val="0"/>
        <w:adjustRightInd w:val="0"/>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4.</w:t>
      </w:r>
      <w:r w:rsidR="009D1CE0" w:rsidRPr="00520178">
        <w:rPr>
          <w:rFonts w:ascii="Times New Roman" w:eastAsia="Times New Roman" w:hAnsi="Times New Roman" w:cs="Times New Roman"/>
          <w:sz w:val="24"/>
          <w:szCs w:val="24"/>
          <w:lang w:eastAsia="tr-TR"/>
        </w:rPr>
        <w:t>Teşvik ve destek sistemi sadeleştirilerek mükerrerliği önleyici bir yapıda kurgulanacak, yapılacak etki analizleri çerçevesinde etkin olmayanlar kaldırılacak, teşviklerin makroekonomik hedefler ve bütçe hedefleri ile uyumu sağlanacaktır.</w:t>
      </w:r>
    </w:p>
    <w:p w:rsidR="007C466E" w:rsidRPr="00520178" w:rsidRDefault="009D1CE0" w:rsidP="00725390">
      <w:pPr>
        <w:tabs>
          <w:tab w:val="left" w:pos="851"/>
        </w:tabs>
        <w:autoSpaceDE w:val="0"/>
        <w:autoSpaceDN w:val="0"/>
        <w:adjustRightInd w:val="0"/>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5. </w:t>
      </w:r>
      <w:r w:rsidR="00032D79" w:rsidRPr="00520178">
        <w:rPr>
          <w:rFonts w:ascii="Times New Roman" w:eastAsia="Times New Roman" w:hAnsi="Times New Roman" w:cs="Times New Roman"/>
          <w:sz w:val="24"/>
          <w:szCs w:val="24"/>
          <w:lang w:eastAsia="tr-TR"/>
        </w:rPr>
        <w:t>Döner sermayeli işletmelerin bütçe disiplini içerisinde açık, şeffaf ve hesap verebilir bir idari ve mali yapıda çalışmalarını sağlayacak düzenlemeler yapılacak</w:t>
      </w:r>
      <w:r w:rsidR="00520178" w:rsidRPr="00520178">
        <w:rPr>
          <w:rFonts w:ascii="Times New Roman" w:eastAsia="Times New Roman" w:hAnsi="Times New Roman" w:cs="Times New Roman"/>
          <w:sz w:val="24"/>
          <w:szCs w:val="24"/>
          <w:lang w:eastAsia="tr-TR"/>
        </w:rPr>
        <w:t>tır</w:t>
      </w:r>
      <w:r w:rsidR="00032D79" w:rsidRPr="00520178">
        <w:rPr>
          <w:rFonts w:ascii="Times New Roman" w:eastAsia="Times New Roman" w:hAnsi="Times New Roman" w:cs="Times New Roman"/>
          <w:sz w:val="24"/>
          <w:szCs w:val="24"/>
          <w:lang w:eastAsia="tr-TR"/>
        </w:rPr>
        <w:t>.</w:t>
      </w:r>
    </w:p>
    <w:p w:rsidR="007C466E" w:rsidRPr="00520178" w:rsidRDefault="009D1CE0" w:rsidP="00725390">
      <w:pPr>
        <w:autoSpaceDE w:val="0"/>
        <w:autoSpaceDN w:val="0"/>
        <w:adjustRightInd w:val="0"/>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6. </w:t>
      </w:r>
      <w:r w:rsidR="00390F0E" w:rsidRPr="00520178">
        <w:rPr>
          <w:rFonts w:ascii="Times New Roman" w:eastAsia="Times New Roman" w:hAnsi="Times New Roman" w:cs="Times New Roman"/>
          <w:sz w:val="24"/>
          <w:szCs w:val="24"/>
          <w:lang w:eastAsia="tr-TR"/>
        </w:rPr>
        <w:t>Toplu kamu alımları yoluyla kamu kaynaklarının etkin kullanımının sağlanması ve merkezi tedarik hizmetlerinin geliştirilmesi için Devlet Malzeme Ofisi'nin merkezi tedarik yapısı güçlendirilecektir.</w:t>
      </w:r>
      <w:r w:rsidR="000529FA" w:rsidRPr="00520178">
        <w:rPr>
          <w:rFonts w:ascii="Times New Roman" w:eastAsia="Times New Roman" w:hAnsi="Times New Roman" w:cs="Times New Roman"/>
          <w:sz w:val="24"/>
          <w:szCs w:val="24"/>
          <w:lang w:eastAsia="tr-TR"/>
        </w:rPr>
        <w:t xml:space="preserve"> </w:t>
      </w:r>
    </w:p>
    <w:p w:rsidR="006D13BF" w:rsidRPr="00520178" w:rsidRDefault="009D1CE0" w:rsidP="00725390">
      <w:pPr>
        <w:tabs>
          <w:tab w:val="left" w:pos="851"/>
        </w:tabs>
        <w:autoSpaceDE w:val="0"/>
        <w:autoSpaceDN w:val="0"/>
        <w:adjustRightInd w:val="0"/>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lastRenderedPageBreak/>
        <w:t xml:space="preserve">7. </w:t>
      </w:r>
      <w:r w:rsidR="006D13BF" w:rsidRPr="00520178">
        <w:rPr>
          <w:rFonts w:ascii="Times New Roman" w:eastAsia="Times New Roman" w:hAnsi="Times New Roman" w:cs="Times New Roman"/>
          <w:sz w:val="24"/>
          <w:szCs w:val="24"/>
          <w:lang w:eastAsia="tr-TR"/>
        </w:rPr>
        <w:t xml:space="preserve">Kamu kaynaklarının verimli kullanılması amacıyla iş ve işlemler dijitalleştirilerek mali yük azaltılacak, bilgi sistemleri birbiriyle </w:t>
      </w:r>
      <w:proofErr w:type="gramStart"/>
      <w:r w:rsidR="006D13BF" w:rsidRPr="00520178">
        <w:rPr>
          <w:rFonts w:ascii="Times New Roman" w:eastAsia="Times New Roman" w:hAnsi="Times New Roman" w:cs="Times New Roman"/>
          <w:sz w:val="24"/>
          <w:szCs w:val="24"/>
          <w:lang w:eastAsia="tr-TR"/>
        </w:rPr>
        <w:t>entegre</w:t>
      </w:r>
      <w:proofErr w:type="gramEnd"/>
      <w:r w:rsidR="006D13BF" w:rsidRPr="00520178">
        <w:rPr>
          <w:rFonts w:ascii="Times New Roman" w:eastAsia="Times New Roman" w:hAnsi="Times New Roman" w:cs="Times New Roman"/>
          <w:sz w:val="24"/>
          <w:szCs w:val="24"/>
          <w:lang w:eastAsia="tr-TR"/>
        </w:rPr>
        <w:t xml:space="preserve"> edilerek karar destek mekanizması güçlendirilecektir.</w:t>
      </w:r>
    </w:p>
    <w:p w:rsidR="00A62B23" w:rsidRPr="00520178" w:rsidRDefault="00A62B23" w:rsidP="00725390">
      <w:pPr>
        <w:pStyle w:val="ListeParagraf"/>
        <w:numPr>
          <w:ilvl w:val="0"/>
          <w:numId w:val="30"/>
        </w:numPr>
        <w:tabs>
          <w:tab w:val="left" w:pos="851"/>
        </w:tabs>
        <w:autoSpaceDE w:val="0"/>
        <w:autoSpaceDN w:val="0"/>
        <w:adjustRightInd w:val="0"/>
        <w:spacing w:after="120"/>
        <w:ind w:left="0" w:firstLine="567"/>
        <w:contextualSpacing w:val="0"/>
        <w:jc w:val="both"/>
        <w:rPr>
          <w:rFonts w:ascii="Times New Roman" w:eastAsia="Times New Roman" w:hAnsi="Times New Roman" w:cs="Times New Roman"/>
          <w:color w:val="0070C0"/>
          <w:sz w:val="24"/>
          <w:szCs w:val="24"/>
          <w:lang w:eastAsia="tr-TR"/>
        </w:rPr>
      </w:pPr>
      <w:r w:rsidRPr="00520178">
        <w:rPr>
          <w:rFonts w:ascii="Times New Roman" w:eastAsia="Times New Roman" w:hAnsi="Times New Roman" w:cs="Times New Roman"/>
          <w:sz w:val="24"/>
          <w:szCs w:val="24"/>
          <w:lang w:eastAsia="tr-TR"/>
        </w:rPr>
        <w:t>Taşıt Kanunu, taşıt yönetiminde etkinlik ve verimliliği gözetecek şekilde güncellenecektir</w:t>
      </w:r>
      <w:r w:rsidRPr="00520178">
        <w:rPr>
          <w:rFonts w:ascii="Times New Roman" w:eastAsia="Times New Roman" w:hAnsi="Times New Roman" w:cs="Times New Roman"/>
          <w:lang w:eastAsia="tr-TR"/>
        </w:rPr>
        <w:t xml:space="preserve">. </w:t>
      </w:r>
      <w:r w:rsidR="000529FA" w:rsidRPr="00520178">
        <w:rPr>
          <w:rFonts w:ascii="Times New Roman" w:eastAsia="Times New Roman" w:hAnsi="Times New Roman" w:cs="Times New Roman"/>
          <w:sz w:val="24"/>
          <w:szCs w:val="24"/>
          <w:lang w:eastAsia="tr-TR"/>
        </w:rPr>
        <w:t>Kamu taşıtlarının tedarikinde, kullanımında ve tasfiyesinde etkinlik ve verimliliği artıracak politikaların sağlıklı şekilde yürütülmesine imkân tanıyacak kamu taşıt filo yönetim sistemi kurulacaktır</w:t>
      </w:r>
      <w:r w:rsidRPr="00520178">
        <w:rPr>
          <w:rFonts w:ascii="Times New Roman" w:eastAsia="Times New Roman" w:hAnsi="Times New Roman" w:cs="Times New Roman"/>
          <w:sz w:val="24"/>
          <w:szCs w:val="24"/>
          <w:lang w:eastAsia="tr-TR"/>
        </w:rPr>
        <w:t xml:space="preserve">. </w:t>
      </w:r>
    </w:p>
    <w:p w:rsidR="00971C2C" w:rsidRPr="00520178" w:rsidRDefault="00A62B23" w:rsidP="00725390">
      <w:pPr>
        <w:pStyle w:val="ListeParagraf"/>
        <w:numPr>
          <w:ilvl w:val="0"/>
          <w:numId w:val="30"/>
        </w:numPr>
        <w:tabs>
          <w:tab w:val="left" w:pos="851"/>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w:t>
      </w:r>
      <w:r w:rsidR="000529FA" w:rsidRPr="00520178">
        <w:rPr>
          <w:rFonts w:ascii="Times New Roman" w:eastAsia="Times New Roman" w:hAnsi="Times New Roman" w:cs="Times New Roman"/>
          <w:sz w:val="24"/>
          <w:szCs w:val="24"/>
          <w:lang w:eastAsia="tr-TR"/>
        </w:rPr>
        <w:t>tıl kamu sosyal tesisleri ve lojmanları özelleştirme kapsamına alınacak, sosyal tesislerin tek elden etkin yönetimine yönelik bir şirket kurulacak ve uygun olan sosyal tesisler dezavantajlı grupların kullanımına tahsis edilecektir</w:t>
      </w:r>
      <w:r w:rsidRPr="00520178">
        <w:rPr>
          <w:rFonts w:ascii="Times New Roman" w:eastAsia="Times New Roman" w:hAnsi="Times New Roman" w:cs="Times New Roman"/>
          <w:sz w:val="24"/>
          <w:szCs w:val="24"/>
          <w:lang w:eastAsia="tr-TR"/>
        </w:rPr>
        <w:t>.</w:t>
      </w:r>
    </w:p>
    <w:p w:rsidR="009D1CE0" w:rsidRPr="00520178" w:rsidRDefault="009D1CE0" w:rsidP="00725390">
      <w:pPr>
        <w:pStyle w:val="ListeParagraf"/>
        <w:numPr>
          <w:ilvl w:val="0"/>
          <w:numId w:val="30"/>
        </w:numPr>
        <w:tabs>
          <w:tab w:val="left" w:pos="993"/>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Sağlık harcamalarında etkinliğin sağlanması için arz ve talep yönlü düzenlemeler hayata geçirilecek, </w:t>
      </w:r>
      <w:r w:rsidR="0005404D" w:rsidRPr="00520178">
        <w:rPr>
          <w:rFonts w:ascii="Times New Roman" w:eastAsia="Times New Roman" w:hAnsi="Times New Roman" w:cs="Times New Roman"/>
          <w:sz w:val="24"/>
          <w:szCs w:val="24"/>
          <w:lang w:eastAsia="tr-TR"/>
        </w:rPr>
        <w:t>birinci basamak sağlık hizmetleri güçlendirilerek sağlık sistemi içerisindeki etkinliği artırılacaktır.</w:t>
      </w:r>
      <w:r w:rsidRPr="00520178">
        <w:rPr>
          <w:rFonts w:ascii="Times New Roman" w:eastAsia="Times New Roman" w:hAnsi="Times New Roman" w:cs="Times New Roman"/>
          <w:sz w:val="24"/>
          <w:szCs w:val="24"/>
          <w:lang w:eastAsia="tr-TR"/>
        </w:rPr>
        <w:t xml:space="preserve"> Farkındalık ve izleme - değerlendirme faaliyetleri yürütülerek ilaç kullanımının optimize edilmesi ve ilaç maliyetlerinin azaltılması konusundaki projelerin uygulanmasına devam edilecektir. Sağlık Bakanlığı ve üniversite hastanelerinin ilaç, tıbbi malzeme ve tıbbi cihazlarının alımı tek elden gerçekleştirilecektir.</w:t>
      </w:r>
    </w:p>
    <w:p w:rsidR="006D13BF" w:rsidRPr="00520178" w:rsidRDefault="00816F1C" w:rsidP="00725390">
      <w:pPr>
        <w:pStyle w:val="ListeParagraf"/>
        <w:numPr>
          <w:ilvl w:val="0"/>
          <w:numId w:val="30"/>
        </w:numPr>
        <w:tabs>
          <w:tab w:val="left" w:pos="993"/>
        </w:tabs>
        <w:autoSpaceDE w:val="0"/>
        <w:autoSpaceDN w:val="0"/>
        <w:adjustRightInd w:val="0"/>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Mali açıdan sürdürülebilirliği sağlamak ve ka</w:t>
      </w:r>
      <w:r w:rsidR="006D13BF" w:rsidRPr="00520178">
        <w:rPr>
          <w:rFonts w:ascii="Times New Roman" w:eastAsia="Times New Roman" w:hAnsi="Times New Roman" w:cs="Times New Roman"/>
          <w:sz w:val="24"/>
          <w:szCs w:val="24"/>
          <w:lang w:eastAsia="tr-TR"/>
        </w:rPr>
        <w:t xml:space="preserve">mu maliyesine olan yükü azaltmak amacıyla sosyal güvenlik sisteminin </w:t>
      </w:r>
      <w:proofErr w:type="spellStart"/>
      <w:r w:rsidR="006D13BF" w:rsidRPr="00520178">
        <w:rPr>
          <w:rFonts w:ascii="Times New Roman" w:eastAsia="Times New Roman" w:hAnsi="Times New Roman" w:cs="Times New Roman"/>
          <w:sz w:val="24"/>
          <w:szCs w:val="24"/>
          <w:lang w:eastAsia="tr-TR"/>
        </w:rPr>
        <w:t>aktüeryal</w:t>
      </w:r>
      <w:proofErr w:type="spellEnd"/>
      <w:r w:rsidR="006D13BF" w:rsidRPr="00520178">
        <w:rPr>
          <w:rFonts w:ascii="Times New Roman" w:eastAsia="Times New Roman" w:hAnsi="Times New Roman" w:cs="Times New Roman"/>
          <w:sz w:val="24"/>
          <w:szCs w:val="24"/>
          <w:lang w:eastAsia="tr-TR"/>
        </w:rPr>
        <w:t xml:space="preserve"> dengesini güçlendirici politikalar sosyal adalet gözetilerek hayata geçirilecektir.</w:t>
      </w:r>
    </w:p>
    <w:p w:rsidR="00E57432" w:rsidRPr="00520178" w:rsidRDefault="00816F1C" w:rsidP="0089148A">
      <w:pPr>
        <w:pStyle w:val="ListeParagraf"/>
        <w:numPr>
          <w:ilvl w:val="0"/>
          <w:numId w:val="30"/>
        </w:numPr>
        <w:tabs>
          <w:tab w:val="left" w:pos="851"/>
          <w:tab w:val="left" w:pos="993"/>
          <w:tab w:val="left" w:pos="1134"/>
        </w:tabs>
        <w:spacing w:after="120"/>
        <w:ind w:left="0" w:firstLine="567"/>
        <w:contextualSpacing w:val="0"/>
        <w:jc w:val="both"/>
        <w:rPr>
          <w:rFonts w:ascii="Times New Roman" w:hAnsi="Times New Roman" w:cs="Times New Roman"/>
          <w:sz w:val="24"/>
          <w:szCs w:val="24"/>
        </w:rPr>
      </w:pPr>
      <w:r w:rsidRPr="00520178">
        <w:rPr>
          <w:rFonts w:ascii="Times New Roman" w:eastAsia="Times New Roman" w:hAnsi="Times New Roman" w:cs="Times New Roman"/>
          <w:sz w:val="24"/>
          <w:szCs w:val="24"/>
          <w:lang w:eastAsia="tr-TR"/>
        </w:rPr>
        <w:t xml:space="preserve">Kamu-özel iş birliği (KÖİ) uygulamalarında etkinliği ve </w:t>
      </w:r>
      <w:r w:rsidR="004F6D20" w:rsidRPr="00520178">
        <w:rPr>
          <w:rFonts w:ascii="Times New Roman" w:eastAsia="Times New Roman" w:hAnsi="Times New Roman" w:cs="Times New Roman"/>
          <w:sz w:val="24"/>
          <w:szCs w:val="24"/>
          <w:lang w:eastAsia="tr-TR"/>
        </w:rPr>
        <w:t>verimliliği, ekonomikliği ve bütünlüğü sağlayacak çerçeve bir düzenleme yapılacaktır. Bu kapsamda KÖİ projeleri, kamu yükümlülükleri ve bütçe dengeleri dikkate alınarak planlanacak ve yürütülecek, yatırımların gerçekleştirilmesinde maliyet etkinliğinin sağlandığı durumlarda kullanılac</w:t>
      </w:r>
      <w:r w:rsidR="000E31B9" w:rsidRPr="00520178">
        <w:rPr>
          <w:rFonts w:ascii="Times New Roman" w:eastAsia="Times New Roman" w:hAnsi="Times New Roman" w:cs="Times New Roman"/>
          <w:sz w:val="24"/>
          <w:szCs w:val="24"/>
          <w:lang w:eastAsia="tr-TR"/>
        </w:rPr>
        <w:t>ak</w:t>
      </w:r>
      <w:r w:rsidR="00E57432" w:rsidRPr="00520178">
        <w:rPr>
          <w:rFonts w:ascii="Times New Roman" w:eastAsia="Times New Roman" w:hAnsi="Times New Roman" w:cs="Times New Roman"/>
          <w:sz w:val="24"/>
          <w:szCs w:val="24"/>
          <w:lang w:eastAsia="tr-TR"/>
        </w:rPr>
        <w:t>tır.</w:t>
      </w:r>
    </w:p>
    <w:p w:rsidR="00FD456B" w:rsidRPr="00520178" w:rsidRDefault="00081118" w:rsidP="0089148A">
      <w:pPr>
        <w:pStyle w:val="ListeParagraf"/>
        <w:numPr>
          <w:ilvl w:val="0"/>
          <w:numId w:val="30"/>
        </w:numPr>
        <w:tabs>
          <w:tab w:val="left" w:pos="851"/>
          <w:tab w:val="left" w:pos="993"/>
          <w:tab w:val="left" w:pos="1134"/>
        </w:tabs>
        <w:spacing w:after="120"/>
        <w:ind w:left="0" w:firstLine="567"/>
        <w:contextualSpacing w:val="0"/>
        <w:jc w:val="both"/>
        <w:rPr>
          <w:rFonts w:ascii="Times New Roman" w:hAnsi="Times New Roman" w:cs="Times New Roman"/>
          <w:sz w:val="24"/>
          <w:szCs w:val="24"/>
        </w:rPr>
      </w:pPr>
      <w:r w:rsidRPr="00520178">
        <w:rPr>
          <w:rFonts w:ascii="Times New Roman" w:hAnsi="Times New Roman" w:cs="Times New Roman"/>
          <w:sz w:val="24"/>
          <w:szCs w:val="24"/>
        </w:rPr>
        <w:t>Eğitimde adaletin sağlanması amacıyla öğrenciler, okullar ve bölgeler arasında mali kaynak, öğretmen ve yönetici niteliği, eğitim donanımı ve kazanımlar açısından oluşan farklılıkların azaltılması için okulu merkeze alan bir sistem yaklaşımı benimsenecek</w:t>
      </w:r>
      <w:r w:rsidR="0094687E" w:rsidRPr="00520178">
        <w:rPr>
          <w:rFonts w:ascii="Times New Roman" w:eastAsia="Times New Roman" w:hAnsi="Times New Roman" w:cs="Times New Roman"/>
          <w:sz w:val="24"/>
          <w:szCs w:val="24"/>
          <w:lang w:eastAsia="tr-TR"/>
        </w:rPr>
        <w:t>,</w:t>
      </w:r>
      <w:r w:rsidR="00F8428F" w:rsidRPr="00520178">
        <w:rPr>
          <w:rFonts w:ascii="Times New Roman" w:eastAsia="Times New Roman" w:hAnsi="Times New Roman" w:cs="Times New Roman"/>
          <w:sz w:val="24"/>
          <w:szCs w:val="24"/>
          <w:lang w:eastAsia="tr-TR"/>
        </w:rPr>
        <w:t xml:space="preserve"> </w:t>
      </w:r>
      <w:r w:rsidR="004F6D20" w:rsidRPr="00520178">
        <w:rPr>
          <w:rFonts w:ascii="Times New Roman" w:eastAsia="Times New Roman" w:hAnsi="Times New Roman" w:cs="Times New Roman"/>
          <w:sz w:val="24"/>
          <w:szCs w:val="24"/>
          <w:lang w:eastAsia="tr-TR"/>
        </w:rPr>
        <w:t>okul yöneticiliği güçlendirilecek, eğitim kalite endeksi oluşturulacak, deneyimsiz öğretmenler desteklenecek ve dezavantajlı okullara pozitif ayrımcılık yapılacaktır</w:t>
      </w:r>
      <w:r w:rsidR="00F8428F" w:rsidRPr="00520178">
        <w:rPr>
          <w:rFonts w:ascii="Times New Roman" w:eastAsia="Times New Roman" w:hAnsi="Times New Roman" w:cs="Times New Roman"/>
          <w:sz w:val="24"/>
          <w:szCs w:val="24"/>
          <w:lang w:eastAsia="tr-TR"/>
        </w:rPr>
        <w:t>.</w:t>
      </w:r>
    </w:p>
    <w:p w:rsidR="00E56D2E" w:rsidRPr="00520178" w:rsidRDefault="00F8428F" w:rsidP="00725390">
      <w:pPr>
        <w:pStyle w:val="ListeParagraf"/>
        <w:tabs>
          <w:tab w:val="left" w:pos="567"/>
          <w:tab w:val="left" w:pos="851"/>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On Birinci Kalkınma Planında öngörülen hedeflere ulaşılması için eğitim sisteminde yapılacak köklü reformlar ile eğitimin kalitesinin artırılması sağlanacak ve rekabetçi üretim ve verimlilik için gerekli olan becerilere sahip işgücü yetiştirilecektir.</w:t>
      </w:r>
    </w:p>
    <w:p w:rsidR="007C6C67" w:rsidRPr="00520178" w:rsidRDefault="00E56D2E" w:rsidP="00725390">
      <w:pPr>
        <w:pStyle w:val="ListeParagraf"/>
        <w:numPr>
          <w:ilvl w:val="0"/>
          <w:numId w:val="30"/>
        </w:numPr>
        <w:tabs>
          <w:tab w:val="left" w:pos="567"/>
          <w:tab w:val="left" w:pos="709"/>
          <w:tab w:val="left" w:pos="851"/>
          <w:tab w:val="left" w:pos="993"/>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Yeni tarımsal destekleme modeli ile üretim ve verimde artış sağlanacaktır. </w:t>
      </w:r>
      <w:r w:rsidR="007C6C67" w:rsidRPr="00520178">
        <w:rPr>
          <w:rFonts w:ascii="Times New Roman" w:eastAsia="Times New Roman" w:hAnsi="Times New Roman" w:cs="Times New Roman"/>
          <w:sz w:val="24"/>
          <w:szCs w:val="24"/>
          <w:lang w:eastAsia="tr-TR"/>
        </w:rPr>
        <w:t>Tarımsal destekler katma değer artışını gözeten bir biçimde tahsis edilecek, desteklerle amaçlanan sosyal ve üretim odaklı fayda ile mali yükün karşılaştırılmasına imkân verecek bir izleme ve değerlendirme sistemi kurulacak, desteklerin etkinliği düzenli olarak ölçülecek, etkin olmayan uygulamalar sonlandırılacaktır.</w:t>
      </w:r>
      <w:r w:rsidRPr="00520178">
        <w:rPr>
          <w:rFonts w:ascii="Times New Roman" w:eastAsia="Times New Roman" w:hAnsi="Times New Roman" w:cs="Times New Roman"/>
          <w:sz w:val="24"/>
          <w:szCs w:val="24"/>
          <w:lang w:eastAsia="tr-TR"/>
        </w:rPr>
        <w:t xml:space="preserve"> </w:t>
      </w:r>
    </w:p>
    <w:p w:rsidR="000071D3" w:rsidRPr="00520178" w:rsidRDefault="00E57432" w:rsidP="00725390">
      <w:pPr>
        <w:pStyle w:val="ListeParagraf"/>
        <w:numPr>
          <w:ilvl w:val="0"/>
          <w:numId w:val="30"/>
        </w:numPr>
        <w:tabs>
          <w:tab w:val="left" w:pos="851"/>
          <w:tab w:val="left" w:pos="993"/>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Kamu idarelerinin kamu iç kontrol standartlarına uyum kapasitesi artırılacak, kamuda risk yönetimi uygulamaları yaygınlaştırılacaktır</w:t>
      </w:r>
      <w:r w:rsidR="0027638B" w:rsidRPr="00520178">
        <w:rPr>
          <w:rFonts w:ascii="Times New Roman" w:eastAsia="Times New Roman" w:hAnsi="Times New Roman" w:cs="Times New Roman"/>
          <w:sz w:val="24"/>
          <w:szCs w:val="24"/>
          <w:lang w:eastAsia="tr-TR"/>
        </w:rPr>
        <w:t>.</w:t>
      </w:r>
    </w:p>
    <w:p w:rsidR="0094687E" w:rsidRPr="00520178" w:rsidRDefault="00E57432" w:rsidP="00725390">
      <w:pPr>
        <w:pStyle w:val="ListeParagraf"/>
        <w:numPr>
          <w:ilvl w:val="0"/>
          <w:numId w:val="30"/>
        </w:numPr>
        <w:tabs>
          <w:tab w:val="left" w:pos="851"/>
          <w:tab w:val="left" w:pos="993"/>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Kamu İç Denetim Koordinasyon Kurulunun etkinliği artırılarak tüm kamu kuruluşlarında iç denetim uygulamaları ve kültürü yaygınlaştırılacaktır. İç denetim sisteminin </w:t>
      </w:r>
      <w:r w:rsidRPr="00520178">
        <w:rPr>
          <w:rFonts w:ascii="Times New Roman" w:eastAsia="Times New Roman" w:hAnsi="Times New Roman" w:cs="Times New Roman"/>
          <w:sz w:val="24"/>
          <w:szCs w:val="24"/>
          <w:lang w:eastAsia="tr-TR"/>
        </w:rPr>
        <w:lastRenderedPageBreak/>
        <w:t xml:space="preserve">idarelerde daha etkin bir şekilde uygulanmasını sağlamak amacıyla insan kaynakları altyapısının geliştirilmesine yönelik çalışmalara hız verilecektir. </w:t>
      </w:r>
      <w:r w:rsidR="0027638B" w:rsidRPr="00520178">
        <w:rPr>
          <w:rFonts w:ascii="Times New Roman" w:eastAsia="Times New Roman" w:hAnsi="Times New Roman" w:cs="Times New Roman"/>
          <w:sz w:val="24"/>
          <w:szCs w:val="24"/>
          <w:lang w:eastAsia="tr-TR"/>
        </w:rPr>
        <w:t xml:space="preserve"> </w:t>
      </w:r>
    </w:p>
    <w:p w:rsidR="00011E77" w:rsidRPr="00520178" w:rsidRDefault="00E57432" w:rsidP="00725390">
      <w:pPr>
        <w:pStyle w:val="ListeParagraf"/>
        <w:numPr>
          <w:ilvl w:val="0"/>
          <w:numId w:val="30"/>
        </w:numPr>
        <w:tabs>
          <w:tab w:val="left" w:pos="851"/>
          <w:tab w:val="left" w:pos="993"/>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Mali Yönetim ve Kontrol Merkezi Uyumlaştırma Biriminin kamu idarelerine yönelik eğitim, rehberlik ve izleme fonksiyonu güçlendirilecektir. Kamu idarelerinin mali yönetim ve kontrol alanındaki hizmetlerinin etkinliğini artırmaya yönelik olarak insan kaynakları alt yapısını güçlendirmek amacıyla faaliyetler yürütülecektir</w:t>
      </w:r>
      <w:r w:rsidR="009A667D" w:rsidRPr="00520178">
        <w:rPr>
          <w:rFonts w:ascii="Times New Roman" w:eastAsia="Times New Roman" w:hAnsi="Times New Roman" w:cs="Times New Roman"/>
          <w:sz w:val="24"/>
          <w:szCs w:val="24"/>
          <w:lang w:eastAsia="tr-TR"/>
        </w:rPr>
        <w:t xml:space="preserve">. </w:t>
      </w:r>
    </w:p>
    <w:p w:rsidR="00FD456B" w:rsidRPr="00520178" w:rsidRDefault="00D8110E" w:rsidP="00725390">
      <w:pPr>
        <w:pStyle w:val="ListeParagraf"/>
        <w:numPr>
          <w:ilvl w:val="0"/>
          <w:numId w:val="30"/>
        </w:numPr>
        <w:tabs>
          <w:tab w:val="left" w:pos="993"/>
          <w:tab w:val="left" w:pos="1134"/>
        </w:tabs>
        <w:spacing w:after="120"/>
        <w:ind w:left="0" w:firstLine="567"/>
        <w:contextualSpacing w:val="0"/>
        <w:jc w:val="both"/>
        <w:rPr>
          <w:rFonts w:ascii="Times New Roman" w:eastAsia="Calibri" w:hAnsi="Times New Roman" w:cs="Times New Roman"/>
          <w:sz w:val="24"/>
          <w:szCs w:val="24"/>
        </w:rPr>
      </w:pPr>
      <w:r w:rsidRPr="00520178">
        <w:rPr>
          <w:rFonts w:ascii="Times New Roman" w:eastAsia="Times New Roman" w:hAnsi="Times New Roman" w:cs="Times New Roman"/>
          <w:sz w:val="24"/>
          <w:szCs w:val="24"/>
          <w:lang w:eastAsia="tr-TR"/>
        </w:rPr>
        <w:t xml:space="preserve">Merkezi yönetim bütçesinin </w:t>
      </w:r>
      <w:r w:rsidR="00C6124B" w:rsidRPr="00520178">
        <w:rPr>
          <w:rFonts w:ascii="Times New Roman" w:eastAsia="Times New Roman" w:hAnsi="Times New Roman" w:cs="Times New Roman"/>
          <w:sz w:val="24"/>
          <w:szCs w:val="24"/>
          <w:lang w:eastAsia="tr-TR"/>
        </w:rPr>
        <w:t xml:space="preserve">kamuoyu tarafından </w:t>
      </w:r>
      <w:r w:rsidRPr="00520178">
        <w:rPr>
          <w:rFonts w:ascii="Times New Roman" w:eastAsia="Times New Roman" w:hAnsi="Times New Roman" w:cs="Times New Roman"/>
          <w:sz w:val="24"/>
          <w:szCs w:val="24"/>
          <w:lang w:eastAsia="tr-TR"/>
        </w:rPr>
        <w:t>daha kolay anlaşılması amacıyla hazırlanan Vatandaş Bütçe Rehberinin yayımlanmasına devam edilecektir.</w:t>
      </w:r>
    </w:p>
    <w:p w:rsidR="00F9113B" w:rsidRPr="00520178" w:rsidRDefault="00E57432" w:rsidP="00725390">
      <w:pPr>
        <w:pStyle w:val="ListeParagraf"/>
        <w:numPr>
          <w:ilvl w:val="0"/>
          <w:numId w:val="30"/>
        </w:numPr>
        <w:tabs>
          <w:tab w:val="left" w:pos="993"/>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5018 sayılı Kamu Mali Yönetimi ve Kontrol Kanunu çerçevesinde mali saydamlığın ve hesap verebilirliğin sağlanması amacıyla, uluslararası standartlara uygun olarak hazırlanan Devlet Muhasebe Standartlarına, muhasebe yönetmeliklerinin uyumu büyük oranda sağlanmış olup uyum çalışmalarına devam edilecektir</w:t>
      </w:r>
      <w:r w:rsidR="00F9113B" w:rsidRPr="00520178">
        <w:rPr>
          <w:rFonts w:ascii="Times New Roman" w:eastAsia="Times New Roman" w:hAnsi="Times New Roman" w:cs="Times New Roman"/>
          <w:sz w:val="24"/>
          <w:szCs w:val="24"/>
          <w:lang w:eastAsia="tr-TR"/>
        </w:rPr>
        <w:t>.</w:t>
      </w:r>
    </w:p>
    <w:p w:rsidR="00F9113B" w:rsidRPr="00520178" w:rsidRDefault="00E57432" w:rsidP="00725390">
      <w:pPr>
        <w:pStyle w:val="ListeParagraf"/>
        <w:numPr>
          <w:ilvl w:val="0"/>
          <w:numId w:val="30"/>
        </w:numPr>
        <w:tabs>
          <w:tab w:val="left" w:pos="993"/>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Kamu mali istatistiklerinin veri kalitesini artırmak üzere, kamu idarelerinin muhasebe kayıtlarının ve mali tablolarının mevzuatta belirtilen esaslar, muhasebe ve raporlama standartlarına uygunluk açısından izlenmesi ve kontrol edilmesiyle hesap verebilirliği ve mali saydamlığı sağlamaya yönelik faaliyetlere devam edilecektir</w:t>
      </w:r>
      <w:r w:rsidR="00F9113B" w:rsidRPr="00520178">
        <w:rPr>
          <w:rFonts w:ascii="Times New Roman" w:eastAsia="Times New Roman" w:hAnsi="Times New Roman" w:cs="Times New Roman"/>
          <w:sz w:val="24"/>
          <w:szCs w:val="24"/>
          <w:lang w:eastAsia="tr-TR"/>
        </w:rPr>
        <w:t>.</w:t>
      </w:r>
      <w:r w:rsidR="00326E32" w:rsidRPr="00520178">
        <w:rPr>
          <w:rFonts w:ascii="Times New Roman" w:eastAsia="Times New Roman" w:hAnsi="Times New Roman" w:cs="Times New Roman"/>
          <w:sz w:val="24"/>
          <w:szCs w:val="24"/>
          <w:lang w:eastAsia="tr-TR"/>
        </w:rPr>
        <w:t xml:space="preserve"> </w:t>
      </w:r>
    </w:p>
    <w:p w:rsidR="0030575A" w:rsidRPr="00520178" w:rsidRDefault="00E741CE" w:rsidP="00725390">
      <w:pPr>
        <w:pStyle w:val="ListeParagraf"/>
        <w:numPr>
          <w:ilvl w:val="0"/>
          <w:numId w:val="30"/>
        </w:numPr>
        <w:tabs>
          <w:tab w:val="left" w:pos="567"/>
          <w:tab w:val="left" w:pos="993"/>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Mali yönetim sistemimizin temel fonksiyonları olan; makroekonomik tahmin ve planlama, mali planlama, bütçe hazırlık, bütçe işlemleri ve bütçe uygulama, nakit yönetimi, borç yönetimi, gelir yönetimi, kamu personel yönetimi, varlık yönetimi, muhasebe ve mali raporlama, izleme ve değerlendirme ile denetim süreçleri, birlikte çalışabilirlik prensipleri çerçevesinde bütünleşik bir yapıya kavuşturulacaktır. Böylece, harcama süreçlerindeki kontrol düzeyi artırılacak, mali işlemlere ilişkin süreçler daha hızlı yerine getirilecek ve karar alma süreçlerinde istatistiksel analiz yöntemleri daha yaygın kullanılacaktır. </w:t>
      </w:r>
      <w:r w:rsidR="0030575A" w:rsidRPr="00520178">
        <w:rPr>
          <w:rFonts w:ascii="Times New Roman" w:eastAsia="Times New Roman" w:hAnsi="Times New Roman" w:cs="Times New Roman"/>
          <w:sz w:val="24"/>
          <w:szCs w:val="24"/>
          <w:lang w:eastAsia="tr-TR"/>
        </w:rPr>
        <w:t>Başta e-fatura ve e-teminat mektubu olmak üzere elektronik belge kullanımının artmasına bağlı olarak kaynak kullanımında etkinlik sağlanarak maliyetler düşürülecektir.</w:t>
      </w:r>
      <w:r w:rsidR="0024247F" w:rsidRPr="00520178">
        <w:rPr>
          <w:rFonts w:ascii="Times New Roman" w:eastAsia="Times New Roman" w:hAnsi="Times New Roman" w:cs="Times New Roman"/>
          <w:sz w:val="24"/>
          <w:szCs w:val="24"/>
          <w:lang w:eastAsia="tr-TR"/>
        </w:rPr>
        <w:t xml:space="preserve"> </w:t>
      </w:r>
      <w:r w:rsidR="00E57432" w:rsidRPr="00520178">
        <w:rPr>
          <w:rFonts w:ascii="Times New Roman" w:eastAsia="Times New Roman" w:hAnsi="Times New Roman" w:cs="Times New Roman"/>
          <w:sz w:val="24"/>
          <w:szCs w:val="24"/>
          <w:lang w:eastAsia="tr-TR"/>
        </w:rPr>
        <w:t>Harcama belgelerinin elektronik ortama taşınmasıyla harcamaların otokontrolü ve merkezi denetim güçlendirilecektir</w:t>
      </w:r>
      <w:r w:rsidR="00520178" w:rsidRPr="00520178">
        <w:rPr>
          <w:rFonts w:ascii="Times New Roman" w:eastAsia="Times New Roman" w:hAnsi="Times New Roman" w:cs="Times New Roman"/>
          <w:sz w:val="24"/>
          <w:szCs w:val="24"/>
          <w:lang w:eastAsia="tr-TR"/>
        </w:rPr>
        <w:t>.</w:t>
      </w:r>
    </w:p>
    <w:p w:rsidR="00B5685A" w:rsidRPr="00520178" w:rsidRDefault="00B5685A" w:rsidP="00725390">
      <w:pPr>
        <w:pStyle w:val="ListeParagraf"/>
        <w:numPr>
          <w:ilvl w:val="0"/>
          <w:numId w:val="30"/>
        </w:numPr>
        <w:tabs>
          <w:tab w:val="left" w:pos="0"/>
          <w:tab w:val="left" w:pos="567"/>
          <w:tab w:val="left" w:pos="993"/>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Hazineye ait taşınmazlar önemli kamu projelerinin finansmanında kullanılmak üzere uygulayıcı kuruluşlara devredilmek suretiyle ekonomiye kazandırılacak, bu sayede kaynak oluşturulmasına destek sağlanacaktır.  </w:t>
      </w:r>
    </w:p>
    <w:p w:rsidR="009E71B8" w:rsidRPr="00520178" w:rsidRDefault="00B5685A" w:rsidP="00725390">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Kamu kaynağı olarak nitelendirilen Hazinenin özel mülkiyetindeki taşınmazlar ile Devletin hüküm ve tasarrufu altındaki yerlerden kamu idarelerine tahsisli olup, tahsis amacında kullanılmayan ve atıl olanların belirlenmesi ve bu taşınmazların diğer yöntemlerle ekonomiye kazandırılmasına ilişkin çalışmalara devam edilecektir. </w:t>
      </w:r>
    </w:p>
    <w:p w:rsidR="001655B4" w:rsidRPr="00520178" w:rsidRDefault="00B5685A" w:rsidP="00725390">
      <w:pPr>
        <w:pStyle w:val="ListeParagraf"/>
        <w:numPr>
          <w:ilvl w:val="0"/>
          <w:numId w:val="30"/>
        </w:numPr>
        <w:tabs>
          <w:tab w:val="left" w:pos="567"/>
          <w:tab w:val="left" w:pos="993"/>
          <w:tab w:val="left" w:pos="1134"/>
        </w:tabs>
        <w:spacing w:after="120"/>
        <w:ind w:left="0" w:firstLine="567"/>
        <w:contextualSpacing w:val="0"/>
        <w:jc w:val="both"/>
        <w:rPr>
          <w:rFonts w:ascii="Times New Roman" w:eastAsia="Times New Roman" w:hAnsi="Times New Roman" w:cs="Times New Roman"/>
          <w:color w:val="0070C0"/>
          <w:sz w:val="24"/>
          <w:szCs w:val="24"/>
          <w:lang w:eastAsia="tr-TR"/>
        </w:rPr>
      </w:pPr>
      <w:r w:rsidRPr="00520178">
        <w:rPr>
          <w:rFonts w:ascii="Times New Roman" w:eastAsia="Times New Roman" w:hAnsi="Times New Roman" w:cs="Times New Roman"/>
          <w:sz w:val="24"/>
          <w:szCs w:val="24"/>
          <w:lang w:eastAsia="tr-TR"/>
        </w:rPr>
        <w:t xml:space="preserve">Yatırımların desteklenmesi amacıyla, Hazineye ait taşınmazların tarım, hayvancılık, eğitim, turizm ve diğer amaçlı yatırımların teşviki doğrultusunda kullandırılmasına ilişkin faaliyetlere hız verilecektir. </w:t>
      </w:r>
    </w:p>
    <w:p w:rsidR="00E57432" w:rsidRPr="00520178" w:rsidRDefault="00E57432" w:rsidP="00E57432">
      <w:pPr>
        <w:pStyle w:val="ListeParagraf"/>
        <w:numPr>
          <w:ilvl w:val="0"/>
          <w:numId w:val="30"/>
        </w:numPr>
        <w:tabs>
          <w:tab w:val="left" w:pos="567"/>
          <w:tab w:val="left" w:pos="993"/>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Gıda üretimini artırmak için sulama yatırımları yapılacak ve sebze-meyve fiyatlarında dönemsel dalgalanmaların önlenmesi amacıyla sera yatırımları teşvik edilecektir. </w:t>
      </w:r>
    </w:p>
    <w:p w:rsidR="00E57432" w:rsidRPr="00520178" w:rsidRDefault="00E57432" w:rsidP="00E57432">
      <w:pPr>
        <w:pStyle w:val="ListeParagraf"/>
        <w:numPr>
          <w:ilvl w:val="0"/>
          <w:numId w:val="30"/>
        </w:numPr>
        <w:tabs>
          <w:tab w:val="left" w:pos="567"/>
          <w:tab w:val="left" w:pos="993"/>
          <w:tab w:val="left" w:pos="1134"/>
        </w:tabs>
        <w:spacing w:after="120"/>
        <w:ind w:left="0" w:firstLine="567"/>
        <w:contextualSpacing w:val="0"/>
        <w:jc w:val="both"/>
        <w:rPr>
          <w:rFonts w:ascii="Times New Roman" w:eastAsia="Times New Roman" w:hAnsi="Times New Roman" w:cs="Times New Roman"/>
          <w:color w:val="0070C0"/>
          <w:sz w:val="24"/>
          <w:szCs w:val="24"/>
          <w:lang w:eastAsia="tr-TR"/>
        </w:rPr>
      </w:pPr>
      <w:r w:rsidRPr="00520178">
        <w:rPr>
          <w:rFonts w:ascii="Times New Roman" w:eastAsia="Times New Roman" w:hAnsi="Times New Roman" w:cs="Times New Roman"/>
          <w:sz w:val="24"/>
          <w:szCs w:val="24"/>
          <w:lang w:eastAsia="tr-TR"/>
        </w:rPr>
        <w:t>Kamu binalarında, sanayi ve genel aydınlatmada enerji verimliliği yatırımlarıyla çevreyle dost enerji uygulamaları yaygınlaştırılacak ve enerji tasarrufu sağlanacaktır</w:t>
      </w:r>
      <w:r w:rsidR="00520178" w:rsidRPr="00520178">
        <w:rPr>
          <w:rFonts w:ascii="Times New Roman" w:eastAsia="Times New Roman" w:hAnsi="Times New Roman" w:cs="Times New Roman"/>
          <w:sz w:val="24"/>
          <w:szCs w:val="24"/>
          <w:lang w:eastAsia="tr-TR"/>
        </w:rPr>
        <w:t>.</w:t>
      </w:r>
    </w:p>
    <w:p w:rsidR="00A11D2A" w:rsidRPr="00520178" w:rsidRDefault="00A11D2A" w:rsidP="00725390">
      <w:pPr>
        <w:pStyle w:val="ListeParagraf"/>
        <w:numPr>
          <w:ilvl w:val="0"/>
          <w:numId w:val="30"/>
        </w:numPr>
        <w:tabs>
          <w:tab w:val="left" w:pos="567"/>
          <w:tab w:val="left" w:pos="709"/>
          <w:tab w:val="left" w:pos="993"/>
          <w:tab w:val="left" w:pos="1134"/>
        </w:tabs>
        <w:spacing w:after="120"/>
        <w:ind w:left="0" w:firstLine="567"/>
        <w:contextualSpacing w:val="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lastRenderedPageBreak/>
        <w:t xml:space="preserve">Kamu yatırımlarında, </w:t>
      </w:r>
      <w:r w:rsidR="008E0CB7" w:rsidRPr="00520178">
        <w:rPr>
          <w:rFonts w:ascii="Times New Roman" w:eastAsia="Times New Roman" w:hAnsi="Times New Roman" w:cs="Times New Roman"/>
          <w:sz w:val="24"/>
          <w:szCs w:val="24"/>
          <w:lang w:eastAsia="tr-TR"/>
        </w:rPr>
        <w:t>On Birinci</w:t>
      </w:r>
      <w:r w:rsidRPr="00520178">
        <w:rPr>
          <w:rFonts w:ascii="Times New Roman" w:eastAsia="Times New Roman" w:hAnsi="Times New Roman" w:cs="Times New Roman"/>
          <w:sz w:val="24"/>
          <w:szCs w:val="24"/>
          <w:lang w:eastAsia="tr-TR"/>
        </w:rPr>
        <w:t xml:space="preserve"> Kalkınma Planının öncelikli imalat sanayii sektörlerine ve bu sektörlere yönelik beşeri ve fiziki altyapıyı güçlendirecek Ar-Ge, dijitalleşme, insan kaynakları, lojistik ve enerji gibi yatay alanlar ile tarım, turizm ve savunma sanayii alanlarına öncelik verilecektir. </w:t>
      </w:r>
    </w:p>
    <w:p w:rsidR="009F65E8" w:rsidRPr="00520178" w:rsidRDefault="006D13BF" w:rsidP="00725390">
      <w:pPr>
        <w:tabs>
          <w:tab w:val="left" w:pos="567"/>
          <w:tab w:val="left" w:pos="993"/>
          <w:tab w:val="left" w:pos="1134"/>
        </w:tabs>
        <w:spacing w:after="12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b/>
      </w:r>
      <w:r w:rsidR="009F65E8" w:rsidRPr="00520178">
        <w:rPr>
          <w:rFonts w:ascii="Times New Roman" w:eastAsia="Times New Roman" w:hAnsi="Times New Roman" w:cs="Times New Roman"/>
          <w:sz w:val="24"/>
          <w:szCs w:val="24"/>
          <w:lang w:eastAsia="tr-TR"/>
        </w:rPr>
        <w:t xml:space="preserve">Mali Plan döneminde kamu yatırımları ile özel sektör yatırımları arasındaki tamamlayıcılık ilişkisi artırılacak; yüksek katma değer yaratan, istihdam artırıcı ve cari açığın azaltılmasına katkı sağlayan özel sektör yatırımlarının önünün açılması ve üretken kapasitesinin yükseltilmesi için gereken kamu altyapı yatırımları yapılacaktır. </w:t>
      </w:r>
    </w:p>
    <w:p w:rsidR="009F65E8" w:rsidRPr="00520178" w:rsidRDefault="006D13BF" w:rsidP="00725390">
      <w:pPr>
        <w:tabs>
          <w:tab w:val="left" w:pos="567"/>
          <w:tab w:val="left" w:pos="993"/>
          <w:tab w:val="left" w:pos="1134"/>
        </w:tabs>
        <w:spacing w:after="12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b/>
      </w:r>
      <w:r w:rsidR="009F65E8" w:rsidRPr="00520178">
        <w:rPr>
          <w:rFonts w:ascii="Times New Roman" w:eastAsia="Times New Roman" w:hAnsi="Times New Roman" w:cs="Times New Roman"/>
          <w:sz w:val="24"/>
          <w:szCs w:val="24"/>
          <w:lang w:eastAsia="tr-TR"/>
        </w:rPr>
        <w:t xml:space="preserve">Kamu yatırımları, bölgeler arası gelişmişlik farklarını azaltacak ve bölgesel gelişme potansiyelini değerlendirecek şekilde tahsis edilmeye devam edilecektir. </w:t>
      </w:r>
    </w:p>
    <w:p w:rsidR="009F65E8" w:rsidRPr="00520178" w:rsidRDefault="006D13BF" w:rsidP="00725390">
      <w:pPr>
        <w:tabs>
          <w:tab w:val="left" w:pos="567"/>
          <w:tab w:val="left" w:pos="993"/>
          <w:tab w:val="left" w:pos="1134"/>
        </w:tabs>
        <w:spacing w:after="12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b/>
      </w:r>
      <w:r w:rsidR="009F65E8" w:rsidRPr="00520178">
        <w:rPr>
          <w:rFonts w:ascii="Times New Roman" w:eastAsia="Times New Roman" w:hAnsi="Times New Roman" w:cs="Times New Roman"/>
          <w:sz w:val="24"/>
          <w:szCs w:val="24"/>
          <w:lang w:eastAsia="tr-TR"/>
        </w:rPr>
        <w:t xml:space="preserve">Yeni yatırım projeleri geliştirilmeden önce mevcut sermaye stokundan azami faydayı sağlamak üzere yatırımlara ilişkin bakım-onarım ve </w:t>
      </w:r>
      <w:proofErr w:type="gramStart"/>
      <w:r w:rsidR="009F65E8" w:rsidRPr="00520178">
        <w:rPr>
          <w:rFonts w:ascii="Times New Roman" w:eastAsia="Times New Roman" w:hAnsi="Times New Roman" w:cs="Times New Roman"/>
          <w:sz w:val="24"/>
          <w:szCs w:val="24"/>
          <w:lang w:eastAsia="tr-TR"/>
        </w:rPr>
        <w:t>rehabilitasyon</w:t>
      </w:r>
      <w:proofErr w:type="gramEnd"/>
      <w:r w:rsidR="009F65E8" w:rsidRPr="00520178">
        <w:rPr>
          <w:rFonts w:ascii="Times New Roman" w:eastAsia="Times New Roman" w:hAnsi="Times New Roman" w:cs="Times New Roman"/>
          <w:sz w:val="24"/>
          <w:szCs w:val="24"/>
          <w:lang w:eastAsia="tr-TR"/>
        </w:rPr>
        <w:t xml:space="preserve"> harcamalarının yapılması alternatifi öncelikle değerlendirilecektir. </w:t>
      </w:r>
    </w:p>
    <w:p w:rsidR="009F65E8" w:rsidRPr="00520178" w:rsidRDefault="006D13BF" w:rsidP="00725390">
      <w:pPr>
        <w:tabs>
          <w:tab w:val="left" w:pos="567"/>
          <w:tab w:val="left" w:pos="993"/>
          <w:tab w:val="left" w:pos="1134"/>
        </w:tabs>
        <w:spacing w:after="12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b/>
      </w:r>
      <w:r w:rsidR="009F65E8" w:rsidRPr="00520178">
        <w:rPr>
          <w:rFonts w:ascii="Times New Roman" w:eastAsia="Times New Roman" w:hAnsi="Times New Roman" w:cs="Times New Roman"/>
          <w:sz w:val="24"/>
          <w:szCs w:val="24"/>
          <w:lang w:eastAsia="tr-TR"/>
        </w:rPr>
        <w:t>Kamu yatırım programı</w:t>
      </w:r>
      <w:r w:rsidR="008E0CB7" w:rsidRPr="00520178">
        <w:rPr>
          <w:rFonts w:ascii="Times New Roman" w:eastAsia="Times New Roman" w:hAnsi="Times New Roman" w:cs="Times New Roman"/>
          <w:sz w:val="24"/>
          <w:szCs w:val="24"/>
          <w:lang w:eastAsia="tr-TR"/>
        </w:rPr>
        <w:t xml:space="preserve"> gözden geçirilerek acil ve </w:t>
      </w:r>
      <w:r w:rsidR="009F65E8" w:rsidRPr="00520178">
        <w:rPr>
          <w:rFonts w:ascii="Times New Roman" w:eastAsia="Times New Roman" w:hAnsi="Times New Roman" w:cs="Times New Roman"/>
          <w:sz w:val="24"/>
          <w:szCs w:val="24"/>
          <w:lang w:eastAsia="tr-TR"/>
        </w:rPr>
        <w:t xml:space="preserve">verimli </w:t>
      </w:r>
      <w:r w:rsidR="008E0CB7" w:rsidRPr="00520178">
        <w:rPr>
          <w:rFonts w:ascii="Times New Roman" w:eastAsia="Times New Roman" w:hAnsi="Times New Roman" w:cs="Times New Roman"/>
          <w:sz w:val="24"/>
          <w:szCs w:val="24"/>
          <w:lang w:eastAsia="tr-TR"/>
        </w:rPr>
        <w:t xml:space="preserve">olmayan, önceliğini kaybeden, </w:t>
      </w:r>
      <w:r w:rsidR="009F65E8" w:rsidRPr="00520178">
        <w:rPr>
          <w:rFonts w:ascii="Times New Roman" w:eastAsia="Times New Roman" w:hAnsi="Times New Roman" w:cs="Times New Roman"/>
          <w:sz w:val="24"/>
          <w:szCs w:val="24"/>
          <w:lang w:eastAsia="tr-TR"/>
        </w:rPr>
        <w:t>tamamlanan kısmıyla yeterli olan projeler yatırım programından çıkarılacaktır.</w:t>
      </w:r>
      <w:r w:rsidR="002F1193" w:rsidRPr="00520178">
        <w:rPr>
          <w:rFonts w:ascii="Times New Roman" w:eastAsia="Times New Roman" w:hAnsi="Times New Roman" w:cs="Times New Roman"/>
          <w:sz w:val="24"/>
          <w:szCs w:val="24"/>
          <w:lang w:eastAsia="tr-TR"/>
        </w:rPr>
        <w:t xml:space="preserve"> </w:t>
      </w:r>
    </w:p>
    <w:p w:rsidR="002D5A7B" w:rsidRPr="00520178" w:rsidRDefault="002D5A7B" w:rsidP="00CD2245">
      <w:pPr>
        <w:pStyle w:val="ListeParagraf"/>
        <w:numPr>
          <w:ilvl w:val="1"/>
          <w:numId w:val="21"/>
        </w:numPr>
        <w:tabs>
          <w:tab w:val="left" w:pos="567"/>
          <w:tab w:val="left" w:pos="993"/>
        </w:tabs>
        <w:spacing w:after="120"/>
        <w:ind w:left="851" w:hanging="284"/>
        <w:contextualSpacing w:val="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Bütçe Gelirlerine İlişkin Temel Politikalar</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 xml:space="preserve">Kamu gelir politikaları 2020-2022 döneminde makroekonomik değişim sürecinin desteklenmesi, kamu harcamaları için ihtiyaç duyulan finansmanın sağlanması, </w:t>
      </w:r>
      <w:r w:rsidR="00520178">
        <w:rPr>
          <w:rFonts w:ascii="Times New Roman" w:eastAsia="Calibri" w:hAnsi="Times New Roman" w:cs="Times New Roman"/>
          <w:sz w:val="24"/>
          <w:szCs w:val="24"/>
        </w:rPr>
        <w:br/>
      </w:r>
      <w:proofErr w:type="spellStart"/>
      <w:r w:rsidRPr="00520178">
        <w:rPr>
          <w:rFonts w:ascii="Times New Roman" w:eastAsia="Calibri" w:hAnsi="Times New Roman" w:cs="Times New Roman"/>
          <w:sz w:val="24"/>
          <w:szCs w:val="24"/>
        </w:rPr>
        <w:t>sosyo</w:t>
      </w:r>
      <w:proofErr w:type="spellEnd"/>
      <w:r w:rsidRPr="00520178">
        <w:rPr>
          <w:rFonts w:ascii="Times New Roman" w:eastAsia="Calibri" w:hAnsi="Times New Roman" w:cs="Times New Roman"/>
          <w:sz w:val="24"/>
          <w:szCs w:val="24"/>
        </w:rPr>
        <w:t xml:space="preserve">-ekonomik kalkınma ve adaletin desteklenmesi, ekonominin uluslararası düzeyde rekabet gücünün artırılması ve yurt içi tasarruflara katkı sağlanması hedefleri doğrultusunda yürütülecektir. </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Kamu gelirlerinin kalitesi artırılarak, bütçenin gelir performansının yükseltilmesi amacıyla vergi tahsilatında etkinliğin artırılması, gönüllü uyumun teşvik edilmesi, uyum maliyetlerinin azaltılması, vergi ve diğer gelirlerin sürekli ve kalıcı kaynaklardan modern yöntemlerle ve en az maliyetle toplanması sağlanacaktır.</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 xml:space="preserve">Vergisel teşvikler mükerrerliği önlemeye yönelik olarak yeniden kurgulanacak, yapılacak etki analizleri çerçevesinde bunların etkin olmayanları kaldırılacak, makroekonomik hedefler ve bütçe hedefleri ile uyum sağlanacaktır. </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 xml:space="preserve">Vergide adaleti pekiştirmek amacıyla etkin olmayan istisna, muafiyet ve indirimler kademeli olarak kaldırılarak vergi tabanı genişletilecek ve vergi mevzuatı sadeleştirilecektir.  </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 xml:space="preserve">Mali Plan döneminde, vergi alacaklarına ilişkin yapılandırmaya gidilmeyecektir.  </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 xml:space="preserve">Vergi incelemelerinde </w:t>
      </w:r>
      <w:proofErr w:type="spellStart"/>
      <w:r w:rsidRPr="00520178">
        <w:rPr>
          <w:rFonts w:ascii="Times New Roman" w:eastAsia="Calibri" w:hAnsi="Times New Roman" w:cs="Times New Roman"/>
          <w:sz w:val="24"/>
          <w:szCs w:val="24"/>
        </w:rPr>
        <w:t>sektörel</w:t>
      </w:r>
      <w:proofErr w:type="spellEnd"/>
      <w:r w:rsidRPr="00520178">
        <w:rPr>
          <w:rFonts w:ascii="Times New Roman" w:eastAsia="Calibri" w:hAnsi="Times New Roman" w:cs="Times New Roman"/>
          <w:sz w:val="24"/>
          <w:szCs w:val="24"/>
        </w:rPr>
        <w:t xml:space="preserve"> uzmanlaşma ve elektronik denetim artırılacaktır. </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 xml:space="preserve">İkinci ve sonraki konut alımlarında vergileme ve kredi kullanımına ilişkin düzenleme ve uygulamalar üretken olmayan yatırımların cazibesini azaltma </w:t>
      </w:r>
      <w:proofErr w:type="spellStart"/>
      <w:r w:rsidRPr="00520178">
        <w:rPr>
          <w:rFonts w:ascii="Times New Roman" w:eastAsia="Calibri" w:hAnsi="Times New Roman" w:cs="Times New Roman"/>
          <w:sz w:val="24"/>
          <w:szCs w:val="24"/>
        </w:rPr>
        <w:t>saikiyle</w:t>
      </w:r>
      <w:proofErr w:type="spellEnd"/>
      <w:r w:rsidRPr="00520178">
        <w:rPr>
          <w:rFonts w:ascii="Times New Roman" w:eastAsia="Calibri" w:hAnsi="Times New Roman" w:cs="Times New Roman"/>
          <w:sz w:val="24"/>
          <w:szCs w:val="24"/>
        </w:rPr>
        <w:t xml:space="preserve"> gözden geçirilecektir. </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 xml:space="preserve">Kayıt dışı ekonomi ile planlı mücadeleye kararlı bir şekilde devam edilecek, vergi kayıp ve kaçağı ile mücadelede bilgi iletişim teknolojilerinin kullanımı yaygınlaştırılacaktır.  </w:t>
      </w:r>
    </w:p>
    <w:p w:rsidR="00924728" w:rsidRPr="00520178" w:rsidRDefault="00924728" w:rsidP="00924728">
      <w:pPr>
        <w:pStyle w:val="ListeParagraf"/>
        <w:numPr>
          <w:ilvl w:val="0"/>
          <w:numId w:val="27"/>
        </w:numPr>
        <w:tabs>
          <w:tab w:val="left" w:pos="567"/>
          <w:tab w:val="left" w:pos="851"/>
        </w:tabs>
        <w:spacing w:after="120"/>
        <w:ind w:left="0" w:firstLine="567"/>
        <w:jc w:val="both"/>
        <w:rPr>
          <w:rFonts w:ascii="Times New Roman" w:eastAsia="Calibri" w:hAnsi="Times New Roman" w:cs="Times New Roman"/>
          <w:sz w:val="24"/>
          <w:szCs w:val="24"/>
        </w:rPr>
      </w:pPr>
      <w:r w:rsidRPr="00520178">
        <w:rPr>
          <w:rFonts w:ascii="Times New Roman" w:eastAsia="Calibri" w:hAnsi="Times New Roman" w:cs="Times New Roman"/>
          <w:sz w:val="24"/>
          <w:szCs w:val="24"/>
        </w:rPr>
        <w:t xml:space="preserve">Lüks ve/veya ithal yoğunluğu yüksek ürünler </w:t>
      </w:r>
      <w:r w:rsidRPr="00520178">
        <w:rPr>
          <w:rFonts w:ascii="Times New Roman" w:eastAsia="Times New Roman" w:hAnsi="Times New Roman" w:cs="Times New Roman"/>
          <w:sz w:val="24"/>
          <w:szCs w:val="24"/>
          <w:lang w:eastAsia="tr-TR"/>
        </w:rPr>
        <w:t>listesi güncellenerek</w:t>
      </w:r>
      <w:r w:rsidRPr="00520178">
        <w:rPr>
          <w:rFonts w:ascii="Times New Roman" w:eastAsia="Calibri" w:hAnsi="Times New Roman" w:cs="Times New Roman"/>
          <w:sz w:val="24"/>
          <w:szCs w:val="24"/>
        </w:rPr>
        <w:t xml:space="preserve"> vergi düzenleme</w:t>
      </w:r>
      <w:r w:rsidRPr="00520178">
        <w:rPr>
          <w:rFonts w:ascii="Times New Roman" w:eastAsia="Times New Roman" w:hAnsi="Times New Roman" w:cs="Times New Roman"/>
          <w:sz w:val="24"/>
          <w:szCs w:val="24"/>
          <w:lang w:eastAsia="tr-TR"/>
        </w:rPr>
        <w:t>leri</w:t>
      </w:r>
      <w:r w:rsidRPr="00520178">
        <w:rPr>
          <w:rFonts w:ascii="Times New Roman" w:eastAsia="Calibri" w:hAnsi="Times New Roman" w:cs="Times New Roman"/>
          <w:sz w:val="24"/>
          <w:szCs w:val="24"/>
        </w:rPr>
        <w:t xml:space="preserve"> yapılacaktır. </w:t>
      </w:r>
    </w:p>
    <w:p w:rsidR="00924728" w:rsidRPr="00520178" w:rsidRDefault="00924728" w:rsidP="00924728">
      <w:pPr>
        <w:pStyle w:val="ListeParagraf"/>
        <w:numPr>
          <w:ilvl w:val="0"/>
          <w:numId w:val="27"/>
        </w:numPr>
        <w:tabs>
          <w:tab w:val="left" w:pos="567"/>
          <w:tab w:val="left" w:pos="851"/>
          <w:tab w:val="left" w:pos="993"/>
        </w:tabs>
        <w:spacing w:after="120"/>
        <w:ind w:left="0"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İmar değişikliklerinden kaynaklanan değer artışlarının vergilendirilmesine ilişkin mevzuat ve uygulama güçlendirilecektir.</w:t>
      </w:r>
    </w:p>
    <w:p w:rsidR="00924728" w:rsidRPr="00520178" w:rsidRDefault="00924728" w:rsidP="00924728">
      <w:pPr>
        <w:pStyle w:val="ListeParagraf"/>
        <w:numPr>
          <w:ilvl w:val="0"/>
          <w:numId w:val="27"/>
        </w:numPr>
        <w:tabs>
          <w:tab w:val="left" w:pos="567"/>
          <w:tab w:val="left" w:pos="851"/>
          <w:tab w:val="left" w:pos="993"/>
        </w:tabs>
        <w:spacing w:after="120"/>
        <w:ind w:left="0"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lastRenderedPageBreak/>
        <w:t xml:space="preserve">Taşınmaz değerleme sistemi kurularak gayrimenkul </w:t>
      </w:r>
      <w:proofErr w:type="gramStart"/>
      <w:r w:rsidRPr="00520178">
        <w:rPr>
          <w:rFonts w:ascii="Times New Roman" w:eastAsia="Times New Roman" w:hAnsi="Times New Roman" w:cs="Times New Roman"/>
          <w:sz w:val="24"/>
          <w:szCs w:val="24"/>
          <w:lang w:eastAsia="tr-TR"/>
        </w:rPr>
        <w:t>envanteri</w:t>
      </w:r>
      <w:proofErr w:type="gramEnd"/>
      <w:r w:rsidRPr="00520178">
        <w:rPr>
          <w:rFonts w:ascii="Times New Roman" w:eastAsia="Times New Roman" w:hAnsi="Times New Roman" w:cs="Times New Roman"/>
          <w:sz w:val="24"/>
          <w:szCs w:val="24"/>
          <w:lang w:eastAsia="tr-TR"/>
        </w:rPr>
        <w:t xml:space="preserve"> tamamlanacak,</w:t>
      </w:r>
      <w:r w:rsidRPr="00520178">
        <w:rPr>
          <w:rFonts w:ascii="Times New Roman" w:hAnsi="Times New Roman" w:cs="Times New Roman"/>
        </w:rPr>
        <w:t xml:space="preserve"> </w:t>
      </w:r>
      <w:r w:rsidRPr="00520178">
        <w:rPr>
          <w:rFonts w:ascii="Times New Roman" w:eastAsia="Calibri" w:hAnsi="Times New Roman" w:cs="Times New Roman"/>
          <w:sz w:val="24"/>
          <w:szCs w:val="24"/>
        </w:rPr>
        <w:t xml:space="preserve">gayrimenkul vergilendirme sistemi tapu harçları ve emlak vergilerinin taşınmazların gerçek değerleri üzerinden alınmasını </w:t>
      </w:r>
      <w:r w:rsidRPr="00520178">
        <w:rPr>
          <w:rFonts w:ascii="Times New Roman" w:eastAsia="Times New Roman" w:hAnsi="Times New Roman" w:cs="Times New Roman"/>
          <w:sz w:val="24"/>
          <w:szCs w:val="24"/>
          <w:lang w:eastAsia="tr-TR"/>
        </w:rPr>
        <w:t xml:space="preserve">sağlayacak şekilde yeniden düzenlenecektir. </w:t>
      </w:r>
    </w:p>
    <w:p w:rsidR="00924728" w:rsidRPr="00520178" w:rsidRDefault="00924728" w:rsidP="00924728">
      <w:pPr>
        <w:pStyle w:val="ListeParagraf"/>
        <w:numPr>
          <w:ilvl w:val="0"/>
          <w:numId w:val="27"/>
        </w:numPr>
        <w:tabs>
          <w:tab w:val="left" w:pos="567"/>
          <w:tab w:val="left" w:pos="851"/>
          <w:tab w:val="left" w:pos="993"/>
        </w:tabs>
        <w:spacing w:after="120"/>
        <w:ind w:left="0"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Avrupa Birliğine katılım sürecinde müktesebata ve üyesi olduğumuz diğer uluslararası kuruluşlarca vergisel alanda belirlenen standartlara uyum çalışmalarına devam edilecektir.</w:t>
      </w:r>
    </w:p>
    <w:p w:rsidR="00924728" w:rsidRPr="00520178" w:rsidRDefault="00924728" w:rsidP="00924728">
      <w:pPr>
        <w:pStyle w:val="ListeParagraf"/>
        <w:numPr>
          <w:ilvl w:val="0"/>
          <w:numId w:val="27"/>
        </w:numPr>
        <w:tabs>
          <w:tab w:val="left" w:pos="567"/>
          <w:tab w:val="left" w:pos="851"/>
          <w:tab w:val="left" w:pos="993"/>
        </w:tabs>
        <w:spacing w:after="120"/>
        <w:ind w:left="0"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Enerji tüketiminde tasarruf sağlanması, iklim değişikliği ve çevre kirliliği ile mücadele edilmesine yönelik vergi politikaları çalışmalarına devam edilecektir.</w:t>
      </w:r>
    </w:p>
    <w:p w:rsidR="00924728" w:rsidRPr="00520178" w:rsidRDefault="00924728" w:rsidP="00924728">
      <w:pPr>
        <w:pStyle w:val="ListeParagraf"/>
        <w:numPr>
          <w:ilvl w:val="0"/>
          <w:numId w:val="27"/>
        </w:numPr>
        <w:tabs>
          <w:tab w:val="left" w:pos="567"/>
          <w:tab w:val="left" w:pos="851"/>
          <w:tab w:val="left" w:pos="993"/>
        </w:tabs>
        <w:spacing w:after="120"/>
        <w:ind w:left="0" w:firstLine="567"/>
        <w:jc w:val="both"/>
        <w:rPr>
          <w:rFonts w:ascii="Times New Roman" w:eastAsia="Times New Roman" w:hAnsi="Times New Roman" w:cs="Times New Roman"/>
          <w:sz w:val="24"/>
          <w:szCs w:val="24"/>
          <w:lang w:eastAsia="tr-TR"/>
        </w:rPr>
      </w:pPr>
      <w:r w:rsidRPr="00520178">
        <w:rPr>
          <w:rFonts w:ascii="Times New Roman" w:eastAsia="Calibri" w:hAnsi="Times New Roman" w:cs="Times New Roman"/>
          <w:sz w:val="24"/>
          <w:szCs w:val="24"/>
        </w:rPr>
        <w:t>Mükellef Hizmetleri Merkezinin etkinleştirilmesi, uygulamaya geçirilen İnteraktif Vergi Dairesi Projesi ile tüm hizmetlerin elektronik ortamda sunulması ve küçük ölçekli mükelleflerin vergi kayıtlarını elektronik ortamda tutması sağlanacaktır.</w:t>
      </w:r>
    </w:p>
    <w:p w:rsidR="00924728" w:rsidRPr="00520178" w:rsidRDefault="00924728" w:rsidP="00924728">
      <w:pPr>
        <w:pStyle w:val="ListeParagraf"/>
        <w:numPr>
          <w:ilvl w:val="0"/>
          <w:numId w:val="27"/>
        </w:numPr>
        <w:tabs>
          <w:tab w:val="left" w:pos="567"/>
          <w:tab w:val="left" w:pos="851"/>
          <w:tab w:val="left" w:pos="993"/>
        </w:tabs>
        <w:spacing w:after="120"/>
        <w:ind w:left="0"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Vergi bilincini artırmaya, mükelleflerin hakları ve yükümlülükleri ile vergi uygulamaları konularında etkin bilgilendirilmeleri yoluyla gönüllü uyumlarının artırılmasına yönelik olarak yazılı ve görsel yayınların hazırlanmasına, medya araçlarının kullanılmasına, mükelleflerin işlemlerini hızlı ve güvenli bir şekilde yapabilecekleri interaktif yazılımların hazırlanmasına, iletişim teknolojilerinin kullanıldığı hizmet seçeneklerinin geliştirilmesine yönelik çalışmalara devam edilecektir</w:t>
      </w:r>
      <w:r w:rsidRPr="00520178">
        <w:rPr>
          <w:rFonts w:ascii="Times New Roman" w:eastAsia="Times New Roman" w:hAnsi="Times New Roman" w:cs="Times New Roman"/>
          <w:strike/>
          <w:sz w:val="24"/>
          <w:szCs w:val="24"/>
          <w:lang w:eastAsia="tr-TR"/>
        </w:rPr>
        <w:t xml:space="preserve">. </w:t>
      </w:r>
    </w:p>
    <w:p w:rsidR="002D5A7B" w:rsidRPr="00520178" w:rsidRDefault="00A25BB8" w:rsidP="007C6C67">
      <w:pPr>
        <w:tabs>
          <w:tab w:val="left" w:pos="567"/>
          <w:tab w:val="left" w:pos="993"/>
          <w:tab w:val="left" w:pos="1134"/>
        </w:tabs>
        <w:spacing w:after="12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ab/>
      </w:r>
      <w:r w:rsidR="00C46417" w:rsidRPr="00520178">
        <w:rPr>
          <w:rFonts w:ascii="Times New Roman" w:eastAsia="Times New Roman" w:hAnsi="Times New Roman" w:cs="Times New Roman"/>
          <w:b/>
          <w:sz w:val="24"/>
          <w:szCs w:val="24"/>
          <w:lang w:eastAsia="tr-TR"/>
        </w:rPr>
        <w:t xml:space="preserve">2. </w:t>
      </w:r>
      <w:r w:rsidR="002D5A7B" w:rsidRPr="00520178">
        <w:rPr>
          <w:rFonts w:ascii="Times New Roman" w:eastAsia="Times New Roman" w:hAnsi="Times New Roman" w:cs="Times New Roman"/>
          <w:b/>
          <w:sz w:val="24"/>
          <w:szCs w:val="24"/>
          <w:lang w:eastAsia="tr-TR"/>
        </w:rPr>
        <w:t>MERKEZİ YÖNETİM BÜTÇE BÜYÜKLÜKLERİ</w:t>
      </w:r>
    </w:p>
    <w:p w:rsidR="002D5A7B" w:rsidRPr="00520178" w:rsidRDefault="009F0E28" w:rsidP="009F0E28">
      <w:pPr>
        <w:pStyle w:val="ListeParagraf"/>
        <w:numPr>
          <w:ilvl w:val="1"/>
          <w:numId w:val="33"/>
        </w:numPr>
        <w:spacing w:after="120"/>
        <w:jc w:val="both"/>
        <w:outlineLvl w:val="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 xml:space="preserve"> </w:t>
      </w:r>
      <w:r w:rsidR="002D5A7B" w:rsidRPr="00520178">
        <w:rPr>
          <w:rFonts w:ascii="Times New Roman" w:eastAsia="Times New Roman" w:hAnsi="Times New Roman" w:cs="Times New Roman"/>
          <w:b/>
          <w:sz w:val="24"/>
          <w:szCs w:val="24"/>
          <w:lang w:eastAsia="tr-TR"/>
        </w:rPr>
        <w:t>Merkezi Yönetim Bütçe Dengesi</w:t>
      </w:r>
    </w:p>
    <w:p w:rsidR="002D5A7B"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Orta Vadeli Mali Plan dönemi merkezi yönetim bütçe dengesi ve faiz dışı fazla hedefleri Tablo 2’de yer almaktadır.</w:t>
      </w:r>
    </w:p>
    <w:p w:rsidR="002D5A7B" w:rsidRPr="00520178" w:rsidRDefault="002D5A7B" w:rsidP="00933401">
      <w:pPr>
        <w:spacing w:after="120"/>
        <w:ind w:firstLine="567"/>
        <w:jc w:val="both"/>
        <w:outlineLvl w:val="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Tablo 2- Merkezi Yönetim Bütçe Dengesi ve Faiz Dışı Fazlası</w:t>
      </w:r>
    </w:p>
    <w:tbl>
      <w:tblPr>
        <w:tblW w:w="8648" w:type="dxa"/>
        <w:jc w:val="center"/>
        <w:tblCellMar>
          <w:left w:w="70" w:type="dxa"/>
          <w:right w:w="70" w:type="dxa"/>
        </w:tblCellMar>
        <w:tblLook w:val="00A0" w:firstRow="1" w:lastRow="0" w:firstColumn="1" w:lastColumn="0" w:noHBand="0" w:noVBand="0"/>
      </w:tblPr>
      <w:tblGrid>
        <w:gridCol w:w="5000"/>
        <w:gridCol w:w="1238"/>
        <w:gridCol w:w="1276"/>
        <w:gridCol w:w="1134"/>
      </w:tblGrid>
      <w:tr w:rsidR="00E3694C" w:rsidRPr="00520178" w:rsidTr="0059531E">
        <w:trPr>
          <w:trHeight w:val="20"/>
          <w:jc w:val="center"/>
        </w:trPr>
        <w:tc>
          <w:tcPr>
            <w:tcW w:w="5000" w:type="dxa"/>
            <w:tcBorders>
              <w:top w:val="single" w:sz="8" w:space="0" w:color="auto"/>
              <w:left w:val="single" w:sz="8" w:space="0" w:color="auto"/>
              <w:bottom w:val="single" w:sz="8" w:space="0" w:color="auto"/>
              <w:right w:val="single" w:sz="8" w:space="0" w:color="auto"/>
            </w:tcBorders>
            <w:noWrap/>
            <w:vAlign w:val="bottom"/>
          </w:tcPr>
          <w:p w:rsidR="002D5A7B" w:rsidRPr="00520178" w:rsidRDefault="002D5A7B" w:rsidP="00933401">
            <w:pPr>
              <w:spacing w:after="0"/>
              <w:jc w:val="center"/>
              <w:rPr>
                <w:rFonts w:ascii="Times New Roman" w:eastAsia="Times New Roman" w:hAnsi="Times New Roman" w:cs="Times New Roman"/>
                <w:sz w:val="24"/>
                <w:szCs w:val="24"/>
                <w:lang w:eastAsia="tr-TR"/>
              </w:rPr>
            </w:pPr>
          </w:p>
        </w:tc>
        <w:tc>
          <w:tcPr>
            <w:tcW w:w="1238" w:type="dxa"/>
            <w:tcBorders>
              <w:top w:val="single" w:sz="8" w:space="0" w:color="auto"/>
              <w:left w:val="nil"/>
              <w:bottom w:val="single" w:sz="8" w:space="0" w:color="auto"/>
              <w:right w:val="single" w:sz="8" w:space="0" w:color="auto"/>
            </w:tcBorders>
            <w:noWrap/>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20</w:t>
            </w:r>
          </w:p>
        </w:tc>
        <w:tc>
          <w:tcPr>
            <w:tcW w:w="1276" w:type="dxa"/>
            <w:tcBorders>
              <w:top w:val="single" w:sz="8" w:space="0" w:color="auto"/>
              <w:left w:val="nil"/>
              <w:bottom w:val="single" w:sz="8" w:space="0" w:color="auto"/>
              <w:right w:val="single" w:sz="8" w:space="0" w:color="auto"/>
            </w:tcBorders>
            <w:noWrap/>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21</w:t>
            </w:r>
          </w:p>
        </w:tc>
        <w:tc>
          <w:tcPr>
            <w:tcW w:w="1134" w:type="dxa"/>
            <w:tcBorders>
              <w:top w:val="single" w:sz="8" w:space="0" w:color="auto"/>
              <w:left w:val="nil"/>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22</w:t>
            </w:r>
          </w:p>
        </w:tc>
      </w:tr>
      <w:tr w:rsidR="004C49DD" w:rsidRPr="00520178" w:rsidTr="002F08F5">
        <w:trPr>
          <w:trHeight w:val="20"/>
          <w:jc w:val="center"/>
        </w:trPr>
        <w:tc>
          <w:tcPr>
            <w:tcW w:w="5000" w:type="dxa"/>
            <w:tcBorders>
              <w:top w:val="nil"/>
              <w:left w:val="single" w:sz="8" w:space="0" w:color="auto"/>
              <w:bottom w:val="single" w:sz="8" w:space="0" w:color="auto"/>
              <w:right w:val="single" w:sz="8" w:space="0" w:color="auto"/>
            </w:tcBorders>
            <w:noWrap/>
            <w:vAlign w:val="bottom"/>
            <w:hideMark/>
          </w:tcPr>
          <w:p w:rsidR="004C49DD" w:rsidRPr="00520178" w:rsidRDefault="004C49DD"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Merkezi Yönetim Bütçe Dengesi (Milyon TL)</w:t>
            </w:r>
          </w:p>
        </w:tc>
        <w:tc>
          <w:tcPr>
            <w:tcW w:w="1238" w:type="dxa"/>
            <w:tcBorders>
              <w:top w:val="nil"/>
              <w:left w:val="nil"/>
              <w:bottom w:val="single" w:sz="8" w:space="0" w:color="auto"/>
              <w:right w:val="single" w:sz="8" w:space="0" w:color="auto"/>
            </w:tcBorders>
            <w:noWrap/>
            <w:vAlign w:val="bottom"/>
          </w:tcPr>
          <w:p w:rsidR="004C49DD" w:rsidRPr="00520178" w:rsidRDefault="00223034" w:rsidP="00A62E4E">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-138.87</w:t>
            </w:r>
            <w:r w:rsidR="00FD7C38" w:rsidRPr="00520178">
              <w:rPr>
                <w:rFonts w:ascii="Times New Roman" w:eastAsia="Times New Roman" w:hAnsi="Times New Roman" w:cs="Times New Roman"/>
                <w:sz w:val="24"/>
                <w:szCs w:val="24"/>
                <w:lang w:eastAsia="tr-TR"/>
              </w:rPr>
              <w:t>3</w:t>
            </w:r>
          </w:p>
        </w:tc>
        <w:tc>
          <w:tcPr>
            <w:tcW w:w="1276" w:type="dxa"/>
            <w:tcBorders>
              <w:top w:val="nil"/>
              <w:left w:val="nil"/>
              <w:bottom w:val="single" w:sz="8" w:space="0" w:color="auto"/>
              <w:right w:val="single" w:sz="8" w:space="0" w:color="auto"/>
            </w:tcBorders>
            <w:noWrap/>
          </w:tcPr>
          <w:p w:rsidR="004C49DD" w:rsidRPr="00520178" w:rsidRDefault="00223034" w:rsidP="00DE63D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-157.60</w:t>
            </w:r>
            <w:r w:rsidR="0096533B" w:rsidRPr="00520178">
              <w:rPr>
                <w:rFonts w:ascii="Times New Roman" w:eastAsia="Times New Roman" w:hAnsi="Times New Roman" w:cs="Times New Roman"/>
                <w:sz w:val="24"/>
                <w:szCs w:val="24"/>
                <w:lang w:eastAsia="tr-TR"/>
              </w:rPr>
              <w:t>3</w:t>
            </w:r>
          </w:p>
        </w:tc>
        <w:tc>
          <w:tcPr>
            <w:tcW w:w="1134" w:type="dxa"/>
            <w:tcBorders>
              <w:top w:val="nil"/>
              <w:left w:val="nil"/>
              <w:bottom w:val="single" w:sz="8" w:space="0" w:color="auto"/>
              <w:right w:val="single" w:sz="8" w:space="0" w:color="auto"/>
            </w:tcBorders>
          </w:tcPr>
          <w:p w:rsidR="004C49DD" w:rsidRPr="00520178" w:rsidRDefault="003A75F4" w:rsidP="00FD7C3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-160.1</w:t>
            </w:r>
            <w:r w:rsidR="00FD7C38" w:rsidRPr="00520178">
              <w:rPr>
                <w:rFonts w:ascii="Times New Roman" w:eastAsia="Times New Roman" w:hAnsi="Times New Roman" w:cs="Times New Roman"/>
                <w:sz w:val="24"/>
                <w:szCs w:val="24"/>
                <w:lang w:eastAsia="tr-TR"/>
              </w:rPr>
              <w:t>49</w:t>
            </w:r>
          </w:p>
        </w:tc>
      </w:tr>
      <w:tr w:rsidR="00932F51" w:rsidRPr="00520178" w:rsidTr="0059531E">
        <w:trPr>
          <w:trHeight w:val="20"/>
          <w:jc w:val="center"/>
        </w:trPr>
        <w:tc>
          <w:tcPr>
            <w:tcW w:w="5000" w:type="dxa"/>
            <w:tcBorders>
              <w:top w:val="nil"/>
              <w:left w:val="single" w:sz="8" w:space="0" w:color="auto"/>
              <w:bottom w:val="single" w:sz="8" w:space="0" w:color="auto"/>
              <w:right w:val="single" w:sz="8" w:space="0" w:color="auto"/>
            </w:tcBorders>
            <w:noWrap/>
            <w:vAlign w:val="bottom"/>
            <w:hideMark/>
          </w:tcPr>
          <w:p w:rsidR="002D5A7B" w:rsidRPr="00520178" w:rsidRDefault="002D5A7B"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Merkezi Yönetim Bütçe Dengesi / GSYH (%)</w:t>
            </w:r>
          </w:p>
        </w:tc>
        <w:tc>
          <w:tcPr>
            <w:tcW w:w="1238" w:type="dxa"/>
            <w:tcBorders>
              <w:top w:val="nil"/>
              <w:left w:val="nil"/>
              <w:bottom w:val="single" w:sz="8" w:space="0" w:color="auto"/>
              <w:right w:val="single" w:sz="8" w:space="0" w:color="auto"/>
            </w:tcBorders>
            <w:noWrap/>
            <w:vAlign w:val="bottom"/>
          </w:tcPr>
          <w:p w:rsidR="002D5A7B" w:rsidRPr="00520178" w:rsidRDefault="00223034" w:rsidP="008E319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-2,9</w:t>
            </w:r>
          </w:p>
        </w:tc>
        <w:tc>
          <w:tcPr>
            <w:tcW w:w="1276" w:type="dxa"/>
            <w:tcBorders>
              <w:top w:val="nil"/>
              <w:left w:val="nil"/>
              <w:bottom w:val="single" w:sz="8" w:space="0" w:color="auto"/>
              <w:right w:val="single" w:sz="8" w:space="0" w:color="auto"/>
            </w:tcBorders>
            <w:noWrap/>
            <w:vAlign w:val="bottom"/>
          </w:tcPr>
          <w:p w:rsidR="002D5A7B" w:rsidRPr="00520178" w:rsidRDefault="00223034" w:rsidP="0093340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-2,9</w:t>
            </w:r>
          </w:p>
        </w:tc>
        <w:tc>
          <w:tcPr>
            <w:tcW w:w="1134" w:type="dxa"/>
            <w:tcBorders>
              <w:top w:val="nil"/>
              <w:left w:val="nil"/>
              <w:bottom w:val="single" w:sz="8" w:space="0" w:color="auto"/>
              <w:right w:val="single" w:sz="8" w:space="0" w:color="auto"/>
            </w:tcBorders>
          </w:tcPr>
          <w:p w:rsidR="002D5A7B" w:rsidRPr="00520178" w:rsidRDefault="00223034" w:rsidP="008E319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-2,6</w:t>
            </w:r>
          </w:p>
        </w:tc>
      </w:tr>
      <w:tr w:rsidR="004C49DD" w:rsidRPr="00520178" w:rsidTr="00E3694C">
        <w:trPr>
          <w:trHeight w:val="20"/>
          <w:jc w:val="center"/>
        </w:trPr>
        <w:tc>
          <w:tcPr>
            <w:tcW w:w="5000" w:type="dxa"/>
            <w:tcBorders>
              <w:top w:val="nil"/>
              <w:left w:val="single" w:sz="8" w:space="0" w:color="auto"/>
              <w:bottom w:val="single" w:sz="8" w:space="0" w:color="auto"/>
              <w:right w:val="single" w:sz="8" w:space="0" w:color="auto"/>
            </w:tcBorders>
            <w:noWrap/>
            <w:vAlign w:val="bottom"/>
            <w:hideMark/>
          </w:tcPr>
          <w:p w:rsidR="004C49DD" w:rsidRPr="00520178" w:rsidRDefault="004C49DD"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Faiz Dışı Fazla (Milyon TL)</w:t>
            </w:r>
          </w:p>
        </w:tc>
        <w:tc>
          <w:tcPr>
            <w:tcW w:w="1238" w:type="dxa"/>
            <w:tcBorders>
              <w:top w:val="nil"/>
              <w:left w:val="nil"/>
              <w:bottom w:val="single" w:sz="8" w:space="0" w:color="auto"/>
              <w:right w:val="single" w:sz="8" w:space="0" w:color="auto"/>
            </w:tcBorders>
            <w:noWrap/>
            <w:vAlign w:val="bottom"/>
          </w:tcPr>
          <w:p w:rsidR="004C49DD" w:rsidRPr="00520178" w:rsidRDefault="00223034" w:rsidP="00A62E4E">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6</w:t>
            </w:r>
            <w:r w:rsidR="00FD7C38" w:rsidRPr="00520178">
              <w:rPr>
                <w:rFonts w:ascii="Times New Roman" w:eastAsia="Times New Roman" w:hAnsi="Times New Roman" w:cs="Times New Roman"/>
                <w:sz w:val="24"/>
                <w:szCs w:val="24"/>
                <w:lang w:eastAsia="tr-TR"/>
              </w:rPr>
              <w:t>7</w:t>
            </w:r>
          </w:p>
        </w:tc>
        <w:tc>
          <w:tcPr>
            <w:tcW w:w="1276" w:type="dxa"/>
            <w:tcBorders>
              <w:top w:val="nil"/>
              <w:left w:val="nil"/>
              <w:bottom w:val="single" w:sz="8" w:space="0" w:color="auto"/>
              <w:right w:val="single" w:sz="8" w:space="0" w:color="auto"/>
            </w:tcBorders>
            <w:shd w:val="clear" w:color="auto" w:fill="auto"/>
            <w:noWrap/>
          </w:tcPr>
          <w:p w:rsidR="004C49DD" w:rsidRPr="00520178" w:rsidRDefault="00223034" w:rsidP="004C49D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1.89</w:t>
            </w:r>
            <w:r w:rsidR="0096533B" w:rsidRPr="00520178">
              <w:rPr>
                <w:rFonts w:ascii="Times New Roman" w:eastAsia="Times New Roman" w:hAnsi="Times New Roman" w:cs="Times New Roman"/>
                <w:sz w:val="24"/>
                <w:szCs w:val="24"/>
                <w:lang w:eastAsia="tr-TR"/>
              </w:rPr>
              <w:t>7</w:t>
            </w:r>
          </w:p>
        </w:tc>
        <w:tc>
          <w:tcPr>
            <w:tcW w:w="1134" w:type="dxa"/>
            <w:tcBorders>
              <w:top w:val="nil"/>
              <w:left w:val="nil"/>
              <w:bottom w:val="single" w:sz="8" w:space="0" w:color="auto"/>
              <w:right w:val="single" w:sz="8" w:space="0" w:color="auto"/>
            </w:tcBorders>
            <w:shd w:val="clear" w:color="auto" w:fill="auto"/>
          </w:tcPr>
          <w:p w:rsidR="004C49DD" w:rsidRPr="00520178" w:rsidRDefault="00223034" w:rsidP="004C49D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16.2</w:t>
            </w:r>
            <w:r w:rsidR="000C4F89" w:rsidRPr="00520178">
              <w:rPr>
                <w:rFonts w:ascii="Times New Roman" w:eastAsia="Times New Roman" w:hAnsi="Times New Roman" w:cs="Times New Roman"/>
                <w:sz w:val="24"/>
                <w:szCs w:val="24"/>
                <w:lang w:eastAsia="tr-TR"/>
              </w:rPr>
              <w:t>51</w:t>
            </w:r>
          </w:p>
        </w:tc>
      </w:tr>
      <w:tr w:rsidR="00E3694C" w:rsidRPr="00520178" w:rsidTr="002F08F5">
        <w:trPr>
          <w:trHeight w:val="20"/>
          <w:jc w:val="center"/>
        </w:trPr>
        <w:tc>
          <w:tcPr>
            <w:tcW w:w="5000" w:type="dxa"/>
            <w:tcBorders>
              <w:top w:val="nil"/>
              <w:left w:val="single" w:sz="8" w:space="0" w:color="auto"/>
              <w:bottom w:val="single" w:sz="8" w:space="0" w:color="auto"/>
              <w:right w:val="single" w:sz="8" w:space="0" w:color="auto"/>
            </w:tcBorders>
            <w:noWrap/>
            <w:vAlign w:val="bottom"/>
            <w:hideMark/>
          </w:tcPr>
          <w:p w:rsidR="00E3694C" w:rsidRPr="00520178" w:rsidRDefault="00E3694C"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Faiz Dışı Fazla / GSYH (%)</w:t>
            </w:r>
          </w:p>
        </w:tc>
        <w:tc>
          <w:tcPr>
            <w:tcW w:w="1238" w:type="dxa"/>
            <w:tcBorders>
              <w:top w:val="nil"/>
              <w:left w:val="nil"/>
              <w:bottom w:val="single" w:sz="8" w:space="0" w:color="auto"/>
              <w:right w:val="single" w:sz="8" w:space="0" w:color="auto"/>
            </w:tcBorders>
            <w:noWrap/>
            <w:vAlign w:val="bottom"/>
          </w:tcPr>
          <w:p w:rsidR="00E3694C" w:rsidRPr="00520178" w:rsidRDefault="00223034" w:rsidP="008E319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0,0</w:t>
            </w:r>
          </w:p>
        </w:tc>
        <w:tc>
          <w:tcPr>
            <w:tcW w:w="1276" w:type="dxa"/>
            <w:tcBorders>
              <w:top w:val="nil"/>
              <w:left w:val="nil"/>
              <w:bottom w:val="single" w:sz="8" w:space="0" w:color="auto"/>
              <w:right w:val="single" w:sz="8" w:space="0" w:color="auto"/>
            </w:tcBorders>
            <w:noWrap/>
          </w:tcPr>
          <w:p w:rsidR="00E3694C" w:rsidRPr="00520178" w:rsidRDefault="00223034" w:rsidP="00E3694C">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0,0</w:t>
            </w:r>
          </w:p>
        </w:tc>
        <w:tc>
          <w:tcPr>
            <w:tcW w:w="1134" w:type="dxa"/>
            <w:tcBorders>
              <w:top w:val="nil"/>
              <w:left w:val="nil"/>
              <w:bottom w:val="single" w:sz="8" w:space="0" w:color="auto"/>
              <w:right w:val="single" w:sz="8" w:space="0" w:color="auto"/>
            </w:tcBorders>
          </w:tcPr>
          <w:p w:rsidR="00E3694C" w:rsidRPr="00520178" w:rsidRDefault="00223034" w:rsidP="00E3694C">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0,3</w:t>
            </w:r>
          </w:p>
        </w:tc>
      </w:tr>
    </w:tbl>
    <w:p w:rsidR="002D5A7B" w:rsidRPr="00520178" w:rsidRDefault="00BD7BAE" w:rsidP="00933401">
      <w:pPr>
        <w:spacing w:before="240"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Merkezi yönetim bütçe açığının GSYH’ye oranının </w:t>
      </w:r>
      <w:r w:rsidR="002D5A7B"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002D5A7B"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yılında</w:t>
      </w:r>
      <w:r w:rsidR="002D5A7B" w:rsidRPr="00520178">
        <w:rPr>
          <w:rFonts w:ascii="Times New Roman" w:eastAsia="Times New Roman" w:hAnsi="Times New Roman" w:cs="Times New Roman"/>
          <w:sz w:val="24"/>
          <w:szCs w:val="24"/>
          <w:lang w:eastAsia="tr-TR"/>
        </w:rPr>
        <w:t xml:space="preserve"> yüzde</w:t>
      </w:r>
      <w:r w:rsidR="00223034" w:rsidRPr="00520178">
        <w:rPr>
          <w:rFonts w:ascii="Times New Roman" w:eastAsia="Times New Roman" w:hAnsi="Times New Roman" w:cs="Times New Roman"/>
          <w:sz w:val="24"/>
          <w:szCs w:val="24"/>
          <w:lang w:eastAsia="tr-TR"/>
        </w:rPr>
        <w:t xml:space="preserve"> 2,9</w:t>
      </w:r>
      <w:r w:rsidR="00CD658A" w:rsidRPr="00520178">
        <w:rPr>
          <w:rFonts w:ascii="Times New Roman" w:eastAsia="Times New Roman" w:hAnsi="Times New Roman" w:cs="Times New Roman"/>
          <w:sz w:val="24"/>
          <w:szCs w:val="24"/>
          <w:lang w:eastAsia="tr-TR"/>
        </w:rPr>
        <w:t xml:space="preserve">, </w:t>
      </w:r>
      <w:r w:rsidR="008E3193" w:rsidRPr="00520178">
        <w:rPr>
          <w:rFonts w:ascii="Times New Roman" w:eastAsia="Times New Roman" w:hAnsi="Times New Roman" w:cs="Times New Roman"/>
          <w:sz w:val="24"/>
          <w:szCs w:val="24"/>
          <w:lang w:eastAsia="tr-TR"/>
        </w:rPr>
        <w:t>202</w:t>
      </w:r>
      <w:r w:rsidR="0078597E" w:rsidRPr="00520178">
        <w:rPr>
          <w:rFonts w:ascii="Times New Roman" w:eastAsia="Times New Roman" w:hAnsi="Times New Roman" w:cs="Times New Roman"/>
          <w:sz w:val="24"/>
          <w:szCs w:val="24"/>
          <w:lang w:eastAsia="tr-TR"/>
        </w:rPr>
        <w:t>1</w:t>
      </w:r>
      <w:r w:rsidR="008E3193" w:rsidRPr="00520178">
        <w:rPr>
          <w:rFonts w:ascii="Times New Roman" w:eastAsia="Times New Roman" w:hAnsi="Times New Roman" w:cs="Times New Roman"/>
          <w:sz w:val="24"/>
          <w:szCs w:val="24"/>
          <w:lang w:eastAsia="tr-TR"/>
        </w:rPr>
        <w:t xml:space="preserve"> yılında yüzde </w:t>
      </w:r>
      <w:r w:rsidR="00223034" w:rsidRPr="00520178">
        <w:rPr>
          <w:rFonts w:ascii="Times New Roman" w:eastAsia="Times New Roman" w:hAnsi="Times New Roman" w:cs="Times New Roman"/>
          <w:sz w:val="24"/>
          <w:szCs w:val="24"/>
          <w:lang w:eastAsia="tr-TR"/>
        </w:rPr>
        <w:t xml:space="preserve">2,9 </w:t>
      </w:r>
      <w:r w:rsidR="002D5A7B" w:rsidRPr="00520178">
        <w:rPr>
          <w:rFonts w:ascii="Times New Roman" w:eastAsia="Times New Roman" w:hAnsi="Times New Roman" w:cs="Times New Roman"/>
          <w:sz w:val="24"/>
          <w:szCs w:val="24"/>
          <w:lang w:eastAsia="tr-TR"/>
        </w:rPr>
        <w:t>olarak gerçekleşeceği, 20</w:t>
      </w:r>
      <w:r w:rsidR="00347182"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00E3694C" w:rsidRPr="00520178">
        <w:rPr>
          <w:rFonts w:ascii="Times New Roman" w:eastAsia="Times New Roman" w:hAnsi="Times New Roman" w:cs="Times New Roman"/>
          <w:sz w:val="24"/>
          <w:szCs w:val="24"/>
          <w:lang w:eastAsia="tr-TR"/>
        </w:rPr>
        <w:t xml:space="preserve"> yılında</w:t>
      </w:r>
      <w:r w:rsidR="002D5A7B" w:rsidRPr="00520178">
        <w:rPr>
          <w:rFonts w:ascii="Times New Roman" w:eastAsia="Times New Roman" w:hAnsi="Times New Roman" w:cs="Times New Roman"/>
          <w:sz w:val="24"/>
          <w:szCs w:val="24"/>
          <w:lang w:eastAsia="tr-TR"/>
        </w:rPr>
        <w:t xml:space="preserve"> ise yüzde</w:t>
      </w:r>
      <w:r w:rsidR="00223034" w:rsidRPr="00520178">
        <w:rPr>
          <w:rFonts w:ascii="Times New Roman" w:eastAsia="Times New Roman" w:hAnsi="Times New Roman" w:cs="Times New Roman"/>
          <w:sz w:val="24"/>
          <w:szCs w:val="24"/>
          <w:lang w:eastAsia="tr-TR"/>
        </w:rPr>
        <w:t xml:space="preserve"> 2,6</w:t>
      </w:r>
      <w:r w:rsidR="006632F3" w:rsidRPr="00520178">
        <w:rPr>
          <w:rFonts w:ascii="Times New Roman" w:eastAsia="Times New Roman" w:hAnsi="Times New Roman" w:cs="Times New Roman"/>
          <w:sz w:val="24"/>
          <w:szCs w:val="24"/>
          <w:lang w:eastAsia="tr-TR"/>
        </w:rPr>
        <w:t>’</w:t>
      </w:r>
      <w:r w:rsidR="00E3694C" w:rsidRPr="00520178">
        <w:rPr>
          <w:rFonts w:ascii="Times New Roman" w:eastAsia="Times New Roman" w:hAnsi="Times New Roman" w:cs="Times New Roman"/>
          <w:sz w:val="24"/>
          <w:szCs w:val="24"/>
          <w:lang w:eastAsia="tr-TR"/>
        </w:rPr>
        <w:t>y</w:t>
      </w:r>
      <w:r w:rsidR="00223034" w:rsidRPr="00520178">
        <w:rPr>
          <w:rFonts w:ascii="Times New Roman" w:eastAsia="Times New Roman" w:hAnsi="Times New Roman" w:cs="Times New Roman"/>
          <w:sz w:val="24"/>
          <w:szCs w:val="24"/>
          <w:lang w:eastAsia="tr-TR"/>
        </w:rPr>
        <w:t>a</w:t>
      </w:r>
      <w:r w:rsidR="00E3694C" w:rsidRPr="00520178">
        <w:rPr>
          <w:rFonts w:ascii="Times New Roman" w:eastAsia="Times New Roman" w:hAnsi="Times New Roman" w:cs="Times New Roman"/>
          <w:sz w:val="24"/>
          <w:szCs w:val="24"/>
          <w:lang w:eastAsia="tr-TR"/>
        </w:rPr>
        <w:t xml:space="preserve"> </w:t>
      </w:r>
      <w:r w:rsidR="002D5A7B" w:rsidRPr="00520178">
        <w:rPr>
          <w:rFonts w:ascii="Times New Roman" w:eastAsia="Times New Roman" w:hAnsi="Times New Roman" w:cs="Times New Roman"/>
          <w:sz w:val="24"/>
          <w:szCs w:val="24"/>
          <w:lang w:eastAsia="tr-TR"/>
        </w:rPr>
        <w:t xml:space="preserve">düşeceği tahmin edilmektedir. </w:t>
      </w:r>
    </w:p>
    <w:p w:rsidR="00D266C9"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Mali Plan döneminde, faiz dışı fazlanın 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 xml:space="preserve"> yılında </w:t>
      </w:r>
      <w:r w:rsidR="00191114" w:rsidRPr="00520178">
        <w:rPr>
          <w:rFonts w:ascii="Times New Roman" w:eastAsia="Times New Roman" w:hAnsi="Times New Roman" w:cs="Times New Roman"/>
          <w:sz w:val="24"/>
          <w:szCs w:val="24"/>
          <w:lang w:eastAsia="tr-TR"/>
        </w:rPr>
        <w:t>6</w:t>
      </w:r>
      <w:r w:rsidR="00FD7C38" w:rsidRPr="00520178">
        <w:rPr>
          <w:rFonts w:ascii="Times New Roman" w:eastAsia="Times New Roman" w:hAnsi="Times New Roman" w:cs="Times New Roman"/>
          <w:sz w:val="24"/>
          <w:szCs w:val="24"/>
          <w:lang w:eastAsia="tr-TR"/>
        </w:rPr>
        <w:t>7</w:t>
      </w:r>
      <w:r w:rsidR="00191114" w:rsidRPr="00520178">
        <w:rPr>
          <w:rFonts w:ascii="Times New Roman" w:eastAsia="Times New Roman" w:hAnsi="Times New Roman" w:cs="Times New Roman"/>
          <w:sz w:val="24"/>
          <w:szCs w:val="24"/>
          <w:lang w:eastAsia="tr-TR"/>
        </w:rPr>
        <w:t xml:space="preserve"> milyon TL, </w:t>
      </w:r>
      <w:r w:rsidRPr="00520178">
        <w:rPr>
          <w:rFonts w:ascii="Times New Roman" w:eastAsia="Times New Roman" w:hAnsi="Times New Roman" w:cs="Times New Roman"/>
          <w:sz w:val="24"/>
          <w:szCs w:val="24"/>
          <w:lang w:eastAsia="tr-TR"/>
        </w:rPr>
        <w:t>20</w:t>
      </w:r>
      <w:r w:rsidR="005A01E3"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1</w:t>
      </w:r>
      <w:r w:rsidRPr="00520178">
        <w:rPr>
          <w:rFonts w:ascii="Times New Roman" w:eastAsia="Times New Roman" w:hAnsi="Times New Roman" w:cs="Times New Roman"/>
          <w:sz w:val="24"/>
          <w:szCs w:val="24"/>
          <w:lang w:eastAsia="tr-TR"/>
        </w:rPr>
        <w:t xml:space="preserve"> </w:t>
      </w:r>
      <w:r w:rsidR="005E5613" w:rsidRPr="00520178">
        <w:rPr>
          <w:rFonts w:ascii="Times New Roman" w:eastAsia="Times New Roman" w:hAnsi="Times New Roman" w:cs="Times New Roman"/>
          <w:sz w:val="24"/>
          <w:szCs w:val="24"/>
          <w:lang w:eastAsia="tr-TR"/>
        </w:rPr>
        <w:t xml:space="preserve">ve </w:t>
      </w:r>
      <w:r w:rsidR="00347182" w:rsidRPr="00520178">
        <w:rPr>
          <w:rFonts w:ascii="Times New Roman" w:eastAsia="Times New Roman" w:hAnsi="Times New Roman" w:cs="Times New Roman"/>
          <w:sz w:val="24"/>
          <w:szCs w:val="24"/>
          <w:lang w:eastAsia="tr-TR"/>
        </w:rPr>
        <w:t>202</w:t>
      </w:r>
      <w:r w:rsidR="0078597E" w:rsidRPr="00520178">
        <w:rPr>
          <w:rFonts w:ascii="Times New Roman" w:eastAsia="Times New Roman" w:hAnsi="Times New Roman" w:cs="Times New Roman"/>
          <w:sz w:val="24"/>
          <w:szCs w:val="24"/>
          <w:lang w:eastAsia="tr-TR"/>
        </w:rPr>
        <w:t>2</w:t>
      </w:r>
      <w:r w:rsidR="005E5613"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yıl</w:t>
      </w:r>
      <w:r w:rsidR="005E5613" w:rsidRPr="00520178">
        <w:rPr>
          <w:rFonts w:ascii="Times New Roman" w:eastAsia="Times New Roman" w:hAnsi="Times New Roman" w:cs="Times New Roman"/>
          <w:sz w:val="24"/>
          <w:szCs w:val="24"/>
          <w:lang w:eastAsia="tr-TR"/>
        </w:rPr>
        <w:t>lar</w:t>
      </w:r>
      <w:r w:rsidRPr="00520178">
        <w:rPr>
          <w:rFonts w:ascii="Times New Roman" w:eastAsia="Times New Roman" w:hAnsi="Times New Roman" w:cs="Times New Roman"/>
          <w:sz w:val="24"/>
          <w:szCs w:val="24"/>
          <w:lang w:eastAsia="tr-TR"/>
        </w:rPr>
        <w:t>ında</w:t>
      </w:r>
      <w:r w:rsidR="009B7EA9" w:rsidRPr="00520178">
        <w:rPr>
          <w:rFonts w:ascii="Times New Roman" w:eastAsia="Times New Roman" w:hAnsi="Times New Roman" w:cs="Times New Roman"/>
          <w:sz w:val="24"/>
          <w:szCs w:val="24"/>
          <w:lang w:eastAsia="tr-TR"/>
        </w:rPr>
        <w:t xml:space="preserve"> ise sırasıyla </w:t>
      </w:r>
      <w:r w:rsidR="00191114" w:rsidRPr="00520178">
        <w:rPr>
          <w:rFonts w:ascii="Times New Roman" w:eastAsia="Times New Roman" w:hAnsi="Times New Roman" w:cs="Times New Roman"/>
          <w:sz w:val="24"/>
          <w:szCs w:val="24"/>
          <w:lang w:eastAsia="tr-TR"/>
        </w:rPr>
        <w:t xml:space="preserve">1,9 milyar TL </w:t>
      </w:r>
      <w:r w:rsidR="009B7EA9" w:rsidRPr="00520178">
        <w:rPr>
          <w:rFonts w:ascii="Times New Roman" w:eastAsia="Times New Roman" w:hAnsi="Times New Roman" w:cs="Times New Roman"/>
          <w:sz w:val="24"/>
          <w:szCs w:val="24"/>
          <w:lang w:eastAsia="tr-TR"/>
        </w:rPr>
        <w:t xml:space="preserve">ve </w:t>
      </w:r>
      <w:r w:rsidR="00191114" w:rsidRPr="00520178">
        <w:rPr>
          <w:rFonts w:ascii="Times New Roman" w:eastAsia="Times New Roman" w:hAnsi="Times New Roman" w:cs="Times New Roman"/>
          <w:sz w:val="24"/>
          <w:szCs w:val="24"/>
          <w:lang w:eastAsia="tr-TR"/>
        </w:rPr>
        <w:t>16,</w:t>
      </w:r>
      <w:r w:rsidR="0096533B" w:rsidRPr="00520178">
        <w:rPr>
          <w:rFonts w:ascii="Times New Roman" w:eastAsia="Times New Roman" w:hAnsi="Times New Roman" w:cs="Times New Roman"/>
          <w:sz w:val="24"/>
          <w:szCs w:val="24"/>
          <w:lang w:eastAsia="tr-TR"/>
        </w:rPr>
        <w:t>3</w:t>
      </w:r>
      <w:r w:rsidR="00191114" w:rsidRPr="00520178">
        <w:rPr>
          <w:rFonts w:ascii="Times New Roman" w:eastAsia="Times New Roman" w:hAnsi="Times New Roman" w:cs="Times New Roman"/>
          <w:sz w:val="24"/>
          <w:szCs w:val="24"/>
          <w:lang w:eastAsia="tr-TR"/>
        </w:rPr>
        <w:t xml:space="preserve"> milyar TL </w:t>
      </w:r>
      <w:r w:rsidRPr="00520178">
        <w:rPr>
          <w:rFonts w:ascii="Times New Roman" w:eastAsia="Times New Roman" w:hAnsi="Times New Roman" w:cs="Times New Roman"/>
          <w:sz w:val="24"/>
          <w:szCs w:val="24"/>
          <w:lang w:eastAsia="tr-TR"/>
        </w:rPr>
        <w:t>olarak gerçekleşeceği öngörülmektedir.</w:t>
      </w:r>
      <w:r w:rsidR="00191114" w:rsidRPr="00520178">
        <w:rPr>
          <w:rFonts w:ascii="Times New Roman" w:eastAsia="Times New Roman" w:hAnsi="Times New Roman" w:cs="Times New Roman"/>
          <w:sz w:val="24"/>
          <w:szCs w:val="24"/>
          <w:lang w:eastAsia="tr-TR"/>
        </w:rPr>
        <w:t xml:space="preserve"> </w:t>
      </w:r>
    </w:p>
    <w:p w:rsidR="00D20A7F"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Merkezi yönetim bütç</w:t>
      </w:r>
      <w:r w:rsidR="003027F9" w:rsidRPr="00520178">
        <w:rPr>
          <w:rFonts w:ascii="Times New Roman" w:eastAsia="Times New Roman" w:hAnsi="Times New Roman" w:cs="Times New Roman"/>
          <w:sz w:val="24"/>
          <w:szCs w:val="24"/>
          <w:lang w:eastAsia="tr-TR"/>
        </w:rPr>
        <w:t>esinin program tanımlı gelir, gider</w:t>
      </w:r>
      <w:r w:rsidRPr="00520178">
        <w:rPr>
          <w:rFonts w:ascii="Times New Roman" w:eastAsia="Times New Roman" w:hAnsi="Times New Roman" w:cs="Times New Roman"/>
          <w:sz w:val="24"/>
          <w:szCs w:val="24"/>
          <w:lang w:eastAsia="tr-TR"/>
        </w:rPr>
        <w:t xml:space="preserve"> </w:t>
      </w:r>
      <w:r w:rsidR="003027F9" w:rsidRPr="00520178">
        <w:rPr>
          <w:rFonts w:ascii="Times New Roman" w:eastAsia="Times New Roman" w:hAnsi="Times New Roman" w:cs="Times New Roman"/>
          <w:sz w:val="24"/>
          <w:szCs w:val="24"/>
          <w:lang w:eastAsia="tr-TR"/>
        </w:rPr>
        <w:t>ve</w:t>
      </w:r>
      <w:r w:rsidRPr="00520178">
        <w:rPr>
          <w:rFonts w:ascii="Times New Roman" w:eastAsia="Times New Roman" w:hAnsi="Times New Roman" w:cs="Times New Roman"/>
          <w:sz w:val="24"/>
          <w:szCs w:val="24"/>
          <w:lang w:eastAsia="tr-TR"/>
        </w:rPr>
        <w:t xml:space="preserve"> faiz dışı </w:t>
      </w:r>
      <w:r w:rsidR="00D416B1" w:rsidRPr="00520178">
        <w:rPr>
          <w:rFonts w:ascii="Times New Roman" w:eastAsia="Times New Roman" w:hAnsi="Times New Roman" w:cs="Times New Roman"/>
          <w:sz w:val="24"/>
          <w:szCs w:val="24"/>
          <w:lang w:eastAsia="tr-TR"/>
        </w:rPr>
        <w:t>denge</w:t>
      </w:r>
      <w:r w:rsidRPr="00520178">
        <w:rPr>
          <w:rFonts w:ascii="Times New Roman" w:eastAsia="Times New Roman" w:hAnsi="Times New Roman" w:cs="Times New Roman"/>
          <w:sz w:val="24"/>
          <w:szCs w:val="24"/>
          <w:lang w:eastAsia="tr-TR"/>
        </w:rPr>
        <w:t xml:space="preserve"> hedefleri ise Tablo 3’te yer almaktadır.</w:t>
      </w:r>
    </w:p>
    <w:p w:rsidR="002D5A7B" w:rsidRPr="00520178" w:rsidRDefault="002D5A7B" w:rsidP="00FF6634">
      <w:pPr>
        <w:spacing w:after="120"/>
        <w:ind w:firstLine="567"/>
        <w:jc w:val="both"/>
        <w:outlineLvl w:val="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Tablo 3- Program Tanımlı Bütçe Büyüklükleri</w:t>
      </w:r>
    </w:p>
    <w:tbl>
      <w:tblPr>
        <w:tblW w:w="86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316"/>
        <w:gridCol w:w="1134"/>
        <w:gridCol w:w="1134"/>
        <w:gridCol w:w="1100"/>
      </w:tblGrid>
      <w:tr w:rsidR="00932F51" w:rsidRPr="00520178" w:rsidTr="00223034">
        <w:trPr>
          <w:trHeight w:val="20"/>
          <w:jc w:val="center"/>
        </w:trPr>
        <w:tc>
          <w:tcPr>
            <w:tcW w:w="5316" w:type="dxa"/>
            <w:tcBorders>
              <w:top w:val="single" w:sz="8" w:space="0" w:color="auto"/>
              <w:left w:val="single" w:sz="8" w:space="0" w:color="auto"/>
              <w:bottom w:val="single" w:sz="8" w:space="0" w:color="auto"/>
              <w:right w:val="single" w:sz="8" w:space="0" w:color="auto"/>
            </w:tcBorders>
            <w:noWrap/>
            <w:vAlign w:val="bottom"/>
          </w:tcPr>
          <w:p w:rsidR="002D5A7B" w:rsidRPr="00520178" w:rsidRDefault="007E0C77" w:rsidP="007E0C77">
            <w:pPr>
              <w:spacing w:after="0"/>
              <w:rPr>
                <w:rFonts w:ascii="Times New Roman" w:eastAsia="Times New Roman" w:hAnsi="Times New Roman" w:cs="Times New Roman"/>
                <w:b/>
                <w:sz w:val="24"/>
                <w:szCs w:val="24"/>
                <w:lang w:eastAsia="tr-TR"/>
              </w:rPr>
            </w:pPr>
            <w:bookmarkStart w:id="0" w:name="_Hlk240789454"/>
            <w:bookmarkStart w:id="1" w:name="_Hlk274314062"/>
            <w:bookmarkStart w:id="2" w:name="_Hlk274314084"/>
            <w:r w:rsidRPr="00520178">
              <w:rPr>
                <w:rFonts w:ascii="Times New Roman" w:eastAsia="Times New Roman" w:hAnsi="Times New Roman" w:cs="Times New Roman"/>
                <w:b/>
                <w:sz w:val="24"/>
                <w:szCs w:val="24"/>
                <w:lang w:eastAsia="tr-TR"/>
              </w:rPr>
              <w:t>Merkezi Yönetim Bütçesi</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2D5A7B" w:rsidRPr="00520178" w:rsidRDefault="002D5A7B" w:rsidP="0078597E">
            <w:pPr>
              <w:spacing w:after="0"/>
              <w:jc w:val="center"/>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20</w:t>
            </w:r>
            <w:r w:rsidR="0078597E" w:rsidRPr="00520178">
              <w:rPr>
                <w:rFonts w:ascii="Times New Roman" w:eastAsia="Times New Roman" w:hAnsi="Times New Roman" w:cs="Times New Roman"/>
                <w:b/>
                <w:sz w:val="24"/>
                <w:szCs w:val="24"/>
                <w:lang w:eastAsia="tr-TR"/>
              </w:rPr>
              <w:t>20</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2D5A7B" w:rsidRPr="00520178" w:rsidRDefault="002D5A7B" w:rsidP="0078597E">
            <w:pPr>
              <w:spacing w:after="0"/>
              <w:jc w:val="center"/>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20</w:t>
            </w:r>
            <w:r w:rsidR="005A01E3" w:rsidRPr="00520178">
              <w:rPr>
                <w:rFonts w:ascii="Times New Roman" w:eastAsia="Times New Roman" w:hAnsi="Times New Roman" w:cs="Times New Roman"/>
                <w:b/>
                <w:sz w:val="24"/>
                <w:szCs w:val="24"/>
                <w:lang w:eastAsia="tr-TR"/>
              </w:rPr>
              <w:t>2</w:t>
            </w:r>
            <w:r w:rsidR="0078597E" w:rsidRPr="00520178">
              <w:rPr>
                <w:rFonts w:ascii="Times New Roman" w:eastAsia="Times New Roman" w:hAnsi="Times New Roman" w:cs="Times New Roman"/>
                <w:b/>
                <w:sz w:val="24"/>
                <w:szCs w:val="24"/>
                <w:lang w:eastAsia="tr-TR"/>
              </w:rPr>
              <w:t>1</w:t>
            </w:r>
          </w:p>
        </w:tc>
        <w:tc>
          <w:tcPr>
            <w:tcW w:w="1100" w:type="dxa"/>
            <w:tcBorders>
              <w:top w:val="single" w:sz="8" w:space="0" w:color="auto"/>
              <w:left w:val="single" w:sz="8" w:space="0" w:color="auto"/>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20</w:t>
            </w:r>
            <w:r w:rsidR="00343066" w:rsidRPr="00520178">
              <w:rPr>
                <w:rFonts w:ascii="Times New Roman" w:eastAsia="Times New Roman" w:hAnsi="Times New Roman" w:cs="Times New Roman"/>
                <w:b/>
                <w:sz w:val="24"/>
                <w:szCs w:val="24"/>
                <w:lang w:eastAsia="tr-TR"/>
              </w:rPr>
              <w:t>2</w:t>
            </w:r>
            <w:r w:rsidR="0078597E" w:rsidRPr="00520178">
              <w:rPr>
                <w:rFonts w:ascii="Times New Roman" w:eastAsia="Times New Roman" w:hAnsi="Times New Roman" w:cs="Times New Roman"/>
                <w:b/>
                <w:sz w:val="24"/>
                <w:szCs w:val="24"/>
                <w:lang w:eastAsia="tr-TR"/>
              </w:rPr>
              <w:t>2</w:t>
            </w:r>
          </w:p>
        </w:tc>
      </w:tr>
      <w:tr w:rsidR="004C49DD" w:rsidRPr="00520178" w:rsidTr="00223034">
        <w:trPr>
          <w:trHeight w:val="20"/>
          <w:jc w:val="center"/>
        </w:trPr>
        <w:tc>
          <w:tcPr>
            <w:tcW w:w="5316" w:type="dxa"/>
            <w:tcBorders>
              <w:top w:val="single" w:sz="8" w:space="0" w:color="auto"/>
              <w:left w:val="single" w:sz="8" w:space="0" w:color="auto"/>
              <w:bottom w:val="single" w:sz="8" w:space="0" w:color="auto"/>
              <w:right w:val="single" w:sz="8" w:space="0" w:color="auto"/>
            </w:tcBorders>
            <w:noWrap/>
            <w:vAlign w:val="center"/>
            <w:hideMark/>
          </w:tcPr>
          <w:p w:rsidR="004C49DD" w:rsidRPr="00520178" w:rsidRDefault="004C49DD" w:rsidP="007E0C77">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Faiz Dışı Giderler (Milyon TL)</w:t>
            </w:r>
          </w:p>
        </w:tc>
        <w:tc>
          <w:tcPr>
            <w:tcW w:w="1134" w:type="dxa"/>
            <w:tcBorders>
              <w:top w:val="single" w:sz="8" w:space="0" w:color="auto"/>
              <w:left w:val="single" w:sz="8" w:space="0" w:color="auto"/>
              <w:bottom w:val="single" w:sz="8" w:space="0" w:color="auto"/>
              <w:right w:val="single" w:sz="8" w:space="0" w:color="auto"/>
            </w:tcBorders>
            <w:noWrap/>
            <w:vAlign w:val="bottom"/>
          </w:tcPr>
          <w:p w:rsidR="004C49DD" w:rsidRPr="00520178" w:rsidRDefault="00CD658A" w:rsidP="00CD658A">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956.51</w:t>
            </w:r>
            <w:r w:rsidR="00223034" w:rsidRPr="00520178">
              <w:rPr>
                <w:rFonts w:ascii="Times New Roman" w:eastAsia="Times New Roman" w:hAnsi="Times New Roman" w:cs="Times New Roman"/>
                <w:sz w:val="24"/>
                <w:szCs w:val="24"/>
                <w:lang w:eastAsia="tr-TR"/>
              </w:rPr>
              <w:t>1</w:t>
            </w:r>
          </w:p>
        </w:tc>
        <w:tc>
          <w:tcPr>
            <w:tcW w:w="1134" w:type="dxa"/>
            <w:tcBorders>
              <w:top w:val="single" w:sz="8" w:space="0" w:color="auto"/>
              <w:left w:val="single" w:sz="8" w:space="0" w:color="auto"/>
              <w:bottom w:val="single" w:sz="8" w:space="0" w:color="auto"/>
              <w:right w:val="single" w:sz="8" w:space="0" w:color="auto"/>
            </w:tcBorders>
            <w:noWrap/>
          </w:tcPr>
          <w:p w:rsidR="004C49DD" w:rsidRPr="00520178" w:rsidRDefault="00CD658A" w:rsidP="004C49D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1.037.41</w:t>
            </w:r>
            <w:r w:rsidR="00FD7C38" w:rsidRPr="00520178">
              <w:rPr>
                <w:rFonts w:ascii="Times New Roman" w:eastAsia="Times New Roman" w:hAnsi="Times New Roman" w:cs="Times New Roman"/>
                <w:sz w:val="24"/>
                <w:szCs w:val="24"/>
                <w:lang w:eastAsia="tr-TR"/>
              </w:rPr>
              <w:t>5</w:t>
            </w:r>
          </w:p>
        </w:tc>
        <w:tc>
          <w:tcPr>
            <w:tcW w:w="1100" w:type="dxa"/>
            <w:tcBorders>
              <w:top w:val="single" w:sz="8" w:space="0" w:color="auto"/>
              <w:left w:val="single" w:sz="8" w:space="0" w:color="auto"/>
              <w:bottom w:val="single" w:sz="8" w:space="0" w:color="auto"/>
              <w:right w:val="single" w:sz="8" w:space="0" w:color="auto"/>
            </w:tcBorders>
          </w:tcPr>
          <w:p w:rsidR="004C49DD" w:rsidRPr="00520178" w:rsidRDefault="00CD658A" w:rsidP="004C49D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1.119.01</w:t>
            </w:r>
            <w:r w:rsidR="000C4F89" w:rsidRPr="00520178">
              <w:rPr>
                <w:rFonts w:ascii="Times New Roman" w:eastAsia="Times New Roman" w:hAnsi="Times New Roman" w:cs="Times New Roman"/>
                <w:sz w:val="24"/>
                <w:szCs w:val="24"/>
                <w:lang w:eastAsia="tr-TR"/>
              </w:rPr>
              <w:t>7</w:t>
            </w:r>
          </w:p>
        </w:tc>
      </w:tr>
      <w:tr w:rsidR="006632F3" w:rsidRPr="00520178" w:rsidTr="00223034">
        <w:trPr>
          <w:trHeight w:val="20"/>
          <w:jc w:val="center"/>
        </w:trPr>
        <w:tc>
          <w:tcPr>
            <w:tcW w:w="5316" w:type="dxa"/>
            <w:tcBorders>
              <w:top w:val="single" w:sz="8" w:space="0" w:color="auto"/>
              <w:left w:val="single" w:sz="8" w:space="0" w:color="auto"/>
              <w:bottom w:val="single" w:sz="8" w:space="0" w:color="auto"/>
              <w:right w:val="single" w:sz="8" w:space="0" w:color="auto"/>
            </w:tcBorders>
            <w:noWrap/>
            <w:vAlign w:val="center"/>
            <w:hideMark/>
          </w:tcPr>
          <w:p w:rsidR="006632F3" w:rsidRPr="00520178" w:rsidRDefault="006632F3" w:rsidP="007E0C77">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Faiz Dışı Giderler / GSYH (%)</w:t>
            </w:r>
          </w:p>
        </w:tc>
        <w:tc>
          <w:tcPr>
            <w:tcW w:w="1134" w:type="dxa"/>
            <w:tcBorders>
              <w:top w:val="single" w:sz="8" w:space="0" w:color="auto"/>
              <w:left w:val="single" w:sz="8" w:space="0" w:color="auto"/>
              <w:bottom w:val="single" w:sz="8" w:space="0" w:color="auto"/>
              <w:right w:val="single" w:sz="8" w:space="0" w:color="auto"/>
            </w:tcBorders>
            <w:noWrap/>
            <w:vAlign w:val="bottom"/>
          </w:tcPr>
          <w:p w:rsidR="006632F3" w:rsidRPr="00520178" w:rsidRDefault="00223034" w:rsidP="0093340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19,6</w:t>
            </w:r>
          </w:p>
        </w:tc>
        <w:tc>
          <w:tcPr>
            <w:tcW w:w="1134" w:type="dxa"/>
            <w:tcBorders>
              <w:top w:val="single" w:sz="8" w:space="0" w:color="auto"/>
              <w:left w:val="single" w:sz="8" w:space="0" w:color="auto"/>
              <w:bottom w:val="single" w:sz="8" w:space="0" w:color="auto"/>
              <w:right w:val="single" w:sz="8" w:space="0" w:color="auto"/>
            </w:tcBorders>
            <w:noWrap/>
          </w:tcPr>
          <w:p w:rsidR="006632F3" w:rsidRPr="00520178" w:rsidRDefault="00223034" w:rsidP="006632F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18,9</w:t>
            </w:r>
          </w:p>
        </w:tc>
        <w:tc>
          <w:tcPr>
            <w:tcW w:w="1100" w:type="dxa"/>
            <w:tcBorders>
              <w:top w:val="single" w:sz="8" w:space="0" w:color="auto"/>
              <w:left w:val="single" w:sz="8" w:space="0" w:color="auto"/>
              <w:bottom w:val="single" w:sz="8" w:space="0" w:color="auto"/>
              <w:right w:val="single" w:sz="8" w:space="0" w:color="auto"/>
            </w:tcBorders>
          </w:tcPr>
          <w:p w:rsidR="006632F3" w:rsidRPr="00520178" w:rsidRDefault="00223034" w:rsidP="006632F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18,4</w:t>
            </w:r>
          </w:p>
        </w:tc>
      </w:tr>
      <w:bookmarkEnd w:id="0"/>
      <w:bookmarkEnd w:id="1"/>
      <w:tr w:rsidR="006632F3" w:rsidRPr="00520178" w:rsidTr="00223034">
        <w:trPr>
          <w:trHeight w:val="20"/>
          <w:jc w:val="center"/>
        </w:trPr>
        <w:tc>
          <w:tcPr>
            <w:tcW w:w="5316" w:type="dxa"/>
            <w:tcBorders>
              <w:top w:val="single" w:sz="8" w:space="0" w:color="auto"/>
              <w:left w:val="single" w:sz="8" w:space="0" w:color="auto"/>
              <w:bottom w:val="single" w:sz="8" w:space="0" w:color="auto"/>
              <w:right w:val="single" w:sz="8" w:space="0" w:color="auto"/>
            </w:tcBorders>
            <w:noWrap/>
            <w:vAlign w:val="center"/>
            <w:hideMark/>
          </w:tcPr>
          <w:p w:rsidR="006632F3" w:rsidRPr="00520178" w:rsidRDefault="006632F3" w:rsidP="007E0C77">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lastRenderedPageBreak/>
              <w:t>Gelirler (Milyon TL)</w:t>
            </w:r>
          </w:p>
        </w:tc>
        <w:tc>
          <w:tcPr>
            <w:tcW w:w="1134" w:type="dxa"/>
            <w:tcBorders>
              <w:top w:val="single" w:sz="8" w:space="0" w:color="auto"/>
              <w:left w:val="single" w:sz="8" w:space="0" w:color="auto"/>
              <w:bottom w:val="single" w:sz="8" w:space="0" w:color="auto"/>
              <w:right w:val="single" w:sz="8" w:space="0" w:color="auto"/>
            </w:tcBorders>
            <w:noWrap/>
            <w:vAlign w:val="bottom"/>
          </w:tcPr>
          <w:p w:rsidR="006632F3" w:rsidRPr="00520178" w:rsidRDefault="00223034" w:rsidP="006E07AE">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890.99</w:t>
            </w:r>
            <w:r w:rsidR="0096533B" w:rsidRPr="00520178">
              <w:rPr>
                <w:rFonts w:ascii="Times New Roman" w:eastAsia="Times New Roman" w:hAnsi="Times New Roman" w:cs="Times New Roman"/>
                <w:sz w:val="24"/>
                <w:szCs w:val="24"/>
                <w:lang w:eastAsia="tr-TR"/>
              </w:rPr>
              <w:t>5</w:t>
            </w:r>
          </w:p>
        </w:tc>
        <w:tc>
          <w:tcPr>
            <w:tcW w:w="1134" w:type="dxa"/>
            <w:tcBorders>
              <w:top w:val="single" w:sz="8" w:space="0" w:color="auto"/>
              <w:left w:val="single" w:sz="8" w:space="0" w:color="auto"/>
              <w:bottom w:val="single" w:sz="8" w:space="0" w:color="auto"/>
              <w:right w:val="single" w:sz="8" w:space="0" w:color="auto"/>
            </w:tcBorders>
            <w:noWrap/>
          </w:tcPr>
          <w:p w:rsidR="006632F3" w:rsidRPr="00520178" w:rsidRDefault="00223034" w:rsidP="003D441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994.01</w:t>
            </w:r>
            <w:r w:rsidR="00FD7C38" w:rsidRPr="00520178">
              <w:rPr>
                <w:rFonts w:ascii="Times New Roman" w:eastAsia="Times New Roman" w:hAnsi="Times New Roman" w:cs="Times New Roman"/>
                <w:sz w:val="24"/>
                <w:szCs w:val="24"/>
                <w:lang w:eastAsia="tr-TR"/>
              </w:rPr>
              <w:t>2</w:t>
            </w:r>
          </w:p>
        </w:tc>
        <w:tc>
          <w:tcPr>
            <w:tcW w:w="1100" w:type="dxa"/>
            <w:tcBorders>
              <w:top w:val="single" w:sz="8" w:space="0" w:color="auto"/>
              <w:left w:val="single" w:sz="8" w:space="0" w:color="auto"/>
              <w:bottom w:val="single" w:sz="8" w:space="0" w:color="auto"/>
              <w:right w:val="single" w:sz="8" w:space="0" w:color="auto"/>
            </w:tcBorders>
          </w:tcPr>
          <w:p w:rsidR="006632F3" w:rsidRPr="00520178" w:rsidRDefault="00223034" w:rsidP="00FD7C3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1.093.9</w:t>
            </w:r>
            <w:r w:rsidR="000C4F89" w:rsidRPr="00520178">
              <w:rPr>
                <w:rFonts w:ascii="Times New Roman" w:eastAsia="Times New Roman" w:hAnsi="Times New Roman" w:cs="Times New Roman"/>
                <w:sz w:val="24"/>
                <w:szCs w:val="24"/>
                <w:lang w:eastAsia="tr-TR"/>
              </w:rPr>
              <w:t>71</w:t>
            </w:r>
          </w:p>
        </w:tc>
      </w:tr>
      <w:bookmarkEnd w:id="2"/>
      <w:tr w:rsidR="006632F3" w:rsidRPr="00520178" w:rsidTr="00223034">
        <w:trPr>
          <w:trHeight w:val="20"/>
          <w:jc w:val="center"/>
        </w:trPr>
        <w:tc>
          <w:tcPr>
            <w:tcW w:w="5316" w:type="dxa"/>
            <w:tcBorders>
              <w:top w:val="single" w:sz="8" w:space="0" w:color="auto"/>
              <w:left w:val="single" w:sz="8" w:space="0" w:color="auto"/>
              <w:bottom w:val="single" w:sz="8" w:space="0" w:color="auto"/>
              <w:right w:val="single" w:sz="8" w:space="0" w:color="auto"/>
            </w:tcBorders>
            <w:noWrap/>
            <w:vAlign w:val="center"/>
            <w:hideMark/>
          </w:tcPr>
          <w:p w:rsidR="006632F3" w:rsidRPr="00520178" w:rsidRDefault="006632F3" w:rsidP="00220155">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Gelirler /</w:t>
            </w:r>
            <w:r w:rsidR="00EB1777"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GSYH (%)</w:t>
            </w:r>
          </w:p>
        </w:tc>
        <w:tc>
          <w:tcPr>
            <w:tcW w:w="1134" w:type="dxa"/>
            <w:tcBorders>
              <w:top w:val="single" w:sz="8" w:space="0" w:color="auto"/>
              <w:left w:val="single" w:sz="8" w:space="0" w:color="auto"/>
              <w:bottom w:val="single" w:sz="8" w:space="0" w:color="auto"/>
              <w:right w:val="single" w:sz="8" w:space="0" w:color="auto"/>
            </w:tcBorders>
            <w:noWrap/>
            <w:vAlign w:val="bottom"/>
          </w:tcPr>
          <w:p w:rsidR="006632F3" w:rsidRPr="00520178" w:rsidRDefault="00223034" w:rsidP="0093340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18,3</w:t>
            </w:r>
          </w:p>
        </w:tc>
        <w:tc>
          <w:tcPr>
            <w:tcW w:w="1134" w:type="dxa"/>
            <w:tcBorders>
              <w:top w:val="single" w:sz="8" w:space="0" w:color="auto"/>
              <w:left w:val="single" w:sz="8" w:space="0" w:color="auto"/>
              <w:bottom w:val="single" w:sz="8" w:space="0" w:color="auto"/>
              <w:right w:val="single" w:sz="8" w:space="0" w:color="auto"/>
            </w:tcBorders>
            <w:noWrap/>
          </w:tcPr>
          <w:p w:rsidR="006632F3" w:rsidRPr="00520178" w:rsidRDefault="00223034" w:rsidP="0058015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18,1</w:t>
            </w:r>
          </w:p>
        </w:tc>
        <w:tc>
          <w:tcPr>
            <w:tcW w:w="1100" w:type="dxa"/>
            <w:tcBorders>
              <w:top w:val="single" w:sz="8" w:space="0" w:color="auto"/>
              <w:left w:val="single" w:sz="8" w:space="0" w:color="auto"/>
              <w:bottom w:val="single" w:sz="8" w:space="0" w:color="auto"/>
              <w:right w:val="single" w:sz="8" w:space="0" w:color="auto"/>
            </w:tcBorders>
          </w:tcPr>
          <w:p w:rsidR="006632F3" w:rsidRPr="00520178" w:rsidRDefault="00223034" w:rsidP="0058015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18,0</w:t>
            </w:r>
          </w:p>
        </w:tc>
      </w:tr>
      <w:tr w:rsidR="00223034" w:rsidRPr="00520178" w:rsidTr="00223034">
        <w:trPr>
          <w:trHeight w:val="20"/>
          <w:jc w:val="center"/>
        </w:trPr>
        <w:tc>
          <w:tcPr>
            <w:tcW w:w="5316" w:type="dxa"/>
            <w:tcBorders>
              <w:top w:val="single" w:sz="8" w:space="0" w:color="auto"/>
              <w:left w:val="single" w:sz="8" w:space="0" w:color="auto"/>
              <w:bottom w:val="single" w:sz="8" w:space="0" w:color="auto"/>
              <w:right w:val="single" w:sz="8" w:space="0" w:color="auto"/>
            </w:tcBorders>
            <w:noWrap/>
            <w:vAlign w:val="center"/>
            <w:hideMark/>
          </w:tcPr>
          <w:p w:rsidR="00223034" w:rsidRPr="00520178" w:rsidRDefault="00223034" w:rsidP="00220155">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Faiz Dışı Denge (Milyon TL) </w:t>
            </w:r>
          </w:p>
        </w:tc>
        <w:tc>
          <w:tcPr>
            <w:tcW w:w="1134" w:type="dxa"/>
            <w:tcBorders>
              <w:top w:val="single" w:sz="8" w:space="0" w:color="auto"/>
              <w:left w:val="single" w:sz="8" w:space="0" w:color="auto"/>
              <w:bottom w:val="single" w:sz="8" w:space="0" w:color="auto"/>
              <w:right w:val="single" w:sz="8" w:space="0" w:color="auto"/>
            </w:tcBorders>
            <w:noWrap/>
          </w:tcPr>
          <w:p w:rsidR="00223034" w:rsidRPr="00520178" w:rsidRDefault="00223034" w:rsidP="00223034">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-65.51</w:t>
            </w:r>
            <w:r w:rsidR="00FD7C38" w:rsidRPr="00520178">
              <w:rPr>
                <w:rFonts w:ascii="Times New Roman" w:eastAsia="Times New Roman" w:hAnsi="Times New Roman" w:cs="Times New Roman"/>
                <w:sz w:val="24"/>
                <w:szCs w:val="24"/>
                <w:lang w:eastAsia="tr-TR"/>
              </w:rPr>
              <w:t>6</w:t>
            </w:r>
          </w:p>
        </w:tc>
        <w:tc>
          <w:tcPr>
            <w:tcW w:w="1134" w:type="dxa"/>
            <w:tcBorders>
              <w:top w:val="single" w:sz="8" w:space="0" w:color="auto"/>
              <w:left w:val="single" w:sz="8" w:space="0" w:color="auto"/>
              <w:bottom w:val="single" w:sz="8" w:space="0" w:color="auto"/>
              <w:right w:val="single" w:sz="8" w:space="0" w:color="auto"/>
            </w:tcBorders>
            <w:noWrap/>
          </w:tcPr>
          <w:p w:rsidR="00223034" w:rsidRPr="00520178" w:rsidRDefault="00223034" w:rsidP="00223034">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-43.40</w:t>
            </w:r>
            <w:r w:rsidR="00FD7C38" w:rsidRPr="00520178">
              <w:rPr>
                <w:rFonts w:ascii="Times New Roman" w:eastAsia="Times New Roman" w:hAnsi="Times New Roman" w:cs="Times New Roman"/>
                <w:sz w:val="24"/>
                <w:szCs w:val="24"/>
                <w:lang w:eastAsia="tr-TR"/>
              </w:rPr>
              <w:t>2</w:t>
            </w:r>
          </w:p>
        </w:tc>
        <w:tc>
          <w:tcPr>
            <w:tcW w:w="1100" w:type="dxa"/>
            <w:tcBorders>
              <w:top w:val="single" w:sz="8" w:space="0" w:color="auto"/>
              <w:left w:val="single" w:sz="8" w:space="0" w:color="auto"/>
              <w:bottom w:val="single" w:sz="8" w:space="0" w:color="auto"/>
              <w:right w:val="single" w:sz="8" w:space="0" w:color="auto"/>
            </w:tcBorders>
          </w:tcPr>
          <w:p w:rsidR="00223034" w:rsidRPr="00520178" w:rsidRDefault="00223034" w:rsidP="00223034">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-25.0</w:t>
            </w:r>
            <w:r w:rsidR="000C4F89" w:rsidRPr="00520178">
              <w:rPr>
                <w:rFonts w:ascii="Times New Roman" w:eastAsia="Times New Roman" w:hAnsi="Times New Roman" w:cs="Times New Roman"/>
                <w:sz w:val="24"/>
                <w:szCs w:val="24"/>
                <w:lang w:eastAsia="tr-TR"/>
              </w:rPr>
              <w:t>46</w:t>
            </w:r>
          </w:p>
        </w:tc>
      </w:tr>
      <w:tr w:rsidR="006632F3" w:rsidRPr="00520178" w:rsidTr="00223034">
        <w:trPr>
          <w:trHeight w:val="20"/>
          <w:jc w:val="center"/>
        </w:trPr>
        <w:tc>
          <w:tcPr>
            <w:tcW w:w="5316" w:type="dxa"/>
            <w:tcBorders>
              <w:top w:val="single" w:sz="8" w:space="0" w:color="auto"/>
              <w:left w:val="single" w:sz="8" w:space="0" w:color="auto"/>
              <w:bottom w:val="single" w:sz="8" w:space="0" w:color="auto"/>
              <w:right w:val="single" w:sz="8" w:space="0" w:color="auto"/>
            </w:tcBorders>
            <w:noWrap/>
            <w:vAlign w:val="center"/>
            <w:hideMark/>
          </w:tcPr>
          <w:p w:rsidR="006632F3" w:rsidRPr="00520178" w:rsidRDefault="006632F3" w:rsidP="00220155">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Faiz Dışı </w:t>
            </w:r>
            <w:r w:rsidR="00E46B2C" w:rsidRPr="00520178">
              <w:rPr>
                <w:rFonts w:ascii="Times New Roman" w:eastAsia="Times New Roman" w:hAnsi="Times New Roman" w:cs="Times New Roman"/>
                <w:sz w:val="24"/>
                <w:szCs w:val="24"/>
                <w:lang w:eastAsia="tr-TR"/>
              </w:rPr>
              <w:t>Denge</w:t>
            </w:r>
            <w:r w:rsidR="002D1F1A"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 GSYH (%)</w:t>
            </w:r>
          </w:p>
        </w:tc>
        <w:tc>
          <w:tcPr>
            <w:tcW w:w="1134" w:type="dxa"/>
            <w:tcBorders>
              <w:top w:val="single" w:sz="8" w:space="0" w:color="auto"/>
              <w:left w:val="single" w:sz="8" w:space="0" w:color="auto"/>
              <w:bottom w:val="single" w:sz="8" w:space="0" w:color="auto"/>
              <w:right w:val="single" w:sz="8" w:space="0" w:color="auto"/>
            </w:tcBorders>
            <w:noWrap/>
            <w:vAlign w:val="center"/>
          </w:tcPr>
          <w:p w:rsidR="006632F3" w:rsidRPr="00520178" w:rsidRDefault="00223034" w:rsidP="00D416B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-1,3</w:t>
            </w:r>
          </w:p>
        </w:tc>
        <w:tc>
          <w:tcPr>
            <w:tcW w:w="1134" w:type="dxa"/>
            <w:tcBorders>
              <w:top w:val="single" w:sz="8" w:space="0" w:color="auto"/>
              <w:left w:val="single" w:sz="8" w:space="0" w:color="auto"/>
              <w:bottom w:val="single" w:sz="8" w:space="0" w:color="auto"/>
              <w:right w:val="single" w:sz="8" w:space="0" w:color="auto"/>
            </w:tcBorders>
            <w:noWrap/>
            <w:vAlign w:val="center"/>
          </w:tcPr>
          <w:p w:rsidR="006632F3" w:rsidRPr="00520178" w:rsidRDefault="00223034" w:rsidP="00D416B1">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-0,8</w:t>
            </w:r>
          </w:p>
        </w:tc>
        <w:tc>
          <w:tcPr>
            <w:tcW w:w="1100" w:type="dxa"/>
            <w:tcBorders>
              <w:top w:val="single" w:sz="8" w:space="0" w:color="auto"/>
              <w:left w:val="single" w:sz="8" w:space="0" w:color="auto"/>
              <w:bottom w:val="single" w:sz="8" w:space="0" w:color="auto"/>
              <w:right w:val="single" w:sz="8" w:space="0" w:color="auto"/>
            </w:tcBorders>
            <w:vAlign w:val="center"/>
          </w:tcPr>
          <w:p w:rsidR="006632F3" w:rsidRPr="00520178" w:rsidRDefault="00223034" w:rsidP="0058015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-0,4</w:t>
            </w:r>
          </w:p>
        </w:tc>
      </w:tr>
    </w:tbl>
    <w:p w:rsidR="002D5A7B" w:rsidRPr="00520178" w:rsidRDefault="009F0E28" w:rsidP="009F0E28">
      <w:pPr>
        <w:pStyle w:val="ListeParagraf"/>
        <w:numPr>
          <w:ilvl w:val="1"/>
          <w:numId w:val="33"/>
        </w:numPr>
        <w:tabs>
          <w:tab w:val="left" w:pos="180"/>
          <w:tab w:val="left" w:pos="993"/>
        </w:tabs>
        <w:spacing w:before="240" w:after="12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 xml:space="preserve"> </w:t>
      </w:r>
      <w:r w:rsidR="002D5A7B" w:rsidRPr="00520178">
        <w:rPr>
          <w:rFonts w:ascii="Times New Roman" w:eastAsia="Times New Roman" w:hAnsi="Times New Roman" w:cs="Times New Roman"/>
          <w:b/>
          <w:sz w:val="24"/>
          <w:szCs w:val="24"/>
          <w:lang w:eastAsia="tr-TR"/>
        </w:rPr>
        <w:t>Merkezi Yönetim Bütçe Giderleri</w:t>
      </w:r>
    </w:p>
    <w:p w:rsidR="002C72F9" w:rsidRPr="00520178" w:rsidRDefault="002D5A7B" w:rsidP="002C72F9">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döneminde merkezi yönetim bütçe giderleri; makroekonomik göstergeler, temel politika belgelerinde ortaya konulan öncelikler ve kamu idarelerinin ihtiyaçları esas alınar</w:t>
      </w:r>
      <w:r w:rsidR="00E452F2" w:rsidRPr="00520178">
        <w:rPr>
          <w:rFonts w:ascii="Times New Roman" w:eastAsia="Times New Roman" w:hAnsi="Times New Roman" w:cs="Times New Roman"/>
          <w:sz w:val="24"/>
          <w:szCs w:val="24"/>
          <w:lang w:eastAsia="tr-TR"/>
        </w:rPr>
        <w:t>ak belirlenmiştir. Bu çerçevede</w:t>
      </w:r>
      <w:r w:rsidRPr="00520178">
        <w:rPr>
          <w:rFonts w:ascii="Times New Roman" w:eastAsia="Times New Roman" w:hAnsi="Times New Roman" w:cs="Times New Roman"/>
          <w:sz w:val="24"/>
          <w:szCs w:val="24"/>
          <w:lang w:eastAsia="tr-TR"/>
        </w:rPr>
        <w:t xml:space="preserve"> bütçe giderlerinin ekonomik tasnif bazında belirlenmesinde kullanılan ve öne çıkan temel u</w:t>
      </w:r>
      <w:r w:rsidR="002C72F9" w:rsidRPr="00520178">
        <w:rPr>
          <w:rFonts w:ascii="Times New Roman" w:eastAsia="Times New Roman" w:hAnsi="Times New Roman" w:cs="Times New Roman"/>
          <w:sz w:val="24"/>
          <w:szCs w:val="24"/>
          <w:lang w:eastAsia="tr-TR"/>
        </w:rPr>
        <w:t>nsurlar aşağıda belirtilmiştir.</w:t>
      </w:r>
    </w:p>
    <w:p w:rsidR="00C21EC2" w:rsidRPr="00520178" w:rsidRDefault="000A6C95" w:rsidP="002C72F9">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Personel giderlerine ilişkin ödeneklerin belirlenmesinde; 2019 yılında yapılan toplu sözleşme görüşmeleri sonrası alınan Kamu Görevlileri Hakem Kurulu Kararıyla kamu görevlilerinin mali ve sosyal haklarında yapılan artışlar, enflasyon hedefleri ile kamuda istihdam edilecek yeni personel sayısı dikkate alınmıştır.</w:t>
      </w:r>
    </w:p>
    <w:p w:rsidR="002D5A7B" w:rsidRPr="00520178" w:rsidRDefault="002D5A7B" w:rsidP="00933401">
      <w:pPr>
        <w:spacing w:after="120"/>
        <w:ind w:firstLine="567"/>
        <w:jc w:val="both"/>
        <w:rPr>
          <w:rFonts w:ascii="Times New Roman" w:hAnsi="Times New Roman" w:cs="Times New Roman"/>
          <w:sz w:val="24"/>
          <w:szCs w:val="24"/>
        </w:rPr>
      </w:pPr>
      <w:proofErr w:type="gramStart"/>
      <w:r w:rsidRPr="00520178">
        <w:rPr>
          <w:rFonts w:ascii="Times New Roman" w:eastAsia="Times New Roman" w:hAnsi="Times New Roman" w:cs="Times New Roman"/>
          <w:sz w:val="24"/>
          <w:szCs w:val="24"/>
          <w:lang w:eastAsia="tr-TR"/>
        </w:rPr>
        <w:t>Mal ve hizmet alım giderlerinin belirlenmesinde</w:t>
      </w:r>
      <w:r w:rsidR="006815C8" w:rsidRPr="00520178">
        <w:rPr>
          <w:rFonts w:ascii="Times New Roman" w:eastAsia="Times New Roman" w:hAnsi="Times New Roman" w:cs="Times New Roman"/>
          <w:sz w:val="24"/>
          <w:szCs w:val="24"/>
          <w:lang w:eastAsia="tr-TR"/>
        </w:rPr>
        <w:t>,</w:t>
      </w:r>
      <w:r w:rsidR="004C7ED8" w:rsidRPr="00520178">
        <w:rPr>
          <w:rFonts w:ascii="Times New Roman" w:eastAsia="Times New Roman" w:hAnsi="Times New Roman" w:cs="Times New Roman"/>
          <w:sz w:val="24"/>
          <w:szCs w:val="24"/>
          <w:lang w:eastAsia="tr-TR"/>
        </w:rPr>
        <w:t xml:space="preserve"> öncelikle</w:t>
      </w:r>
      <w:r w:rsidR="004C7ED8" w:rsidRPr="00520178">
        <w:rPr>
          <w:rFonts w:ascii="Times New Roman" w:eastAsia="Times New Roman" w:hAnsi="Times New Roman" w:cs="Times New Roman"/>
          <w:color w:val="FF0000"/>
          <w:sz w:val="24"/>
          <w:szCs w:val="24"/>
          <w:lang w:eastAsia="tr-TR"/>
        </w:rPr>
        <w:t xml:space="preserve"> </w:t>
      </w:r>
      <w:r w:rsidR="004C7ED8" w:rsidRPr="00520178">
        <w:rPr>
          <w:rFonts w:ascii="Times New Roman" w:eastAsia="Times New Roman" w:hAnsi="Times New Roman" w:cs="Times New Roman"/>
          <w:sz w:val="24"/>
          <w:szCs w:val="24"/>
          <w:lang w:eastAsia="tr-TR"/>
        </w:rPr>
        <w:t>e</w:t>
      </w:r>
      <w:r w:rsidR="00E266BA" w:rsidRPr="00520178">
        <w:rPr>
          <w:rFonts w:ascii="Times New Roman" w:eastAsia="Times New Roman" w:hAnsi="Times New Roman" w:cs="Times New Roman"/>
          <w:sz w:val="24"/>
          <w:szCs w:val="24"/>
          <w:lang w:eastAsia="tr-TR"/>
        </w:rPr>
        <w:t>ngelli eğitimi, taşımalı</w:t>
      </w:r>
      <w:r w:rsidR="004C7ED8" w:rsidRPr="00520178">
        <w:rPr>
          <w:rFonts w:ascii="Times New Roman" w:eastAsia="Times New Roman" w:hAnsi="Times New Roman" w:cs="Times New Roman"/>
          <w:sz w:val="24"/>
          <w:szCs w:val="24"/>
          <w:lang w:eastAsia="tr-TR"/>
        </w:rPr>
        <w:t xml:space="preserve"> eğitim, ücretsiz ders kitabı</w:t>
      </w:r>
      <w:r w:rsidR="00E266BA" w:rsidRPr="00520178">
        <w:rPr>
          <w:rFonts w:ascii="Times New Roman" w:eastAsia="Times New Roman" w:hAnsi="Times New Roman" w:cs="Times New Roman"/>
          <w:sz w:val="24"/>
          <w:szCs w:val="24"/>
          <w:lang w:eastAsia="tr-TR"/>
        </w:rPr>
        <w:t>,</w:t>
      </w:r>
      <w:r w:rsidR="005836C3" w:rsidRPr="00520178">
        <w:rPr>
          <w:rFonts w:ascii="Times New Roman" w:eastAsia="Times New Roman" w:hAnsi="Times New Roman" w:cs="Times New Roman"/>
          <w:sz w:val="24"/>
          <w:szCs w:val="24"/>
          <w:lang w:eastAsia="tr-TR"/>
        </w:rPr>
        <w:t xml:space="preserve"> </w:t>
      </w:r>
      <w:r w:rsidR="00E266BA" w:rsidRPr="00520178">
        <w:rPr>
          <w:rFonts w:ascii="Times New Roman" w:eastAsia="Times New Roman" w:hAnsi="Times New Roman" w:cs="Times New Roman"/>
          <w:sz w:val="24"/>
          <w:szCs w:val="24"/>
          <w:lang w:eastAsia="tr-TR"/>
        </w:rPr>
        <w:t>yükseköğrenim öğrencileri</w:t>
      </w:r>
      <w:r w:rsidR="002F0ABC" w:rsidRPr="00520178">
        <w:rPr>
          <w:rFonts w:ascii="Times New Roman" w:eastAsia="Times New Roman" w:hAnsi="Times New Roman" w:cs="Times New Roman"/>
          <w:sz w:val="24"/>
          <w:szCs w:val="24"/>
          <w:lang w:eastAsia="tr-TR"/>
        </w:rPr>
        <w:t>ne</w:t>
      </w:r>
      <w:r w:rsidR="00E266BA" w:rsidRPr="00520178">
        <w:rPr>
          <w:rFonts w:ascii="Times New Roman" w:eastAsia="Times New Roman" w:hAnsi="Times New Roman" w:cs="Times New Roman"/>
          <w:sz w:val="24"/>
          <w:szCs w:val="24"/>
          <w:lang w:eastAsia="tr-TR"/>
        </w:rPr>
        <w:t xml:space="preserve"> yurt temini, aile hekimliği, aşı alımları</w:t>
      </w:r>
      <w:r w:rsidR="0053355E" w:rsidRPr="00520178">
        <w:rPr>
          <w:rFonts w:ascii="Times New Roman" w:eastAsia="Times New Roman" w:hAnsi="Times New Roman" w:cs="Times New Roman"/>
          <w:sz w:val="24"/>
          <w:szCs w:val="24"/>
          <w:lang w:eastAsia="tr-TR"/>
        </w:rPr>
        <w:t xml:space="preserve"> </w:t>
      </w:r>
      <w:r w:rsidR="004C7ED8" w:rsidRPr="00520178">
        <w:rPr>
          <w:rFonts w:ascii="Times New Roman" w:eastAsia="Times New Roman" w:hAnsi="Times New Roman" w:cs="Times New Roman"/>
          <w:sz w:val="24"/>
          <w:szCs w:val="24"/>
          <w:lang w:eastAsia="tr-TR"/>
        </w:rPr>
        <w:t>gibi mevcut programların devam edeceği</w:t>
      </w:r>
      <w:r w:rsidRPr="00520178">
        <w:rPr>
          <w:rFonts w:ascii="Times New Roman" w:eastAsia="Times New Roman" w:hAnsi="Times New Roman" w:cs="Times New Roman"/>
          <w:sz w:val="24"/>
          <w:szCs w:val="24"/>
          <w:lang w:eastAsia="tr-TR"/>
        </w:rPr>
        <w:t xml:space="preserve">, hizmet genişlemesine bağlı olarak ortaya çıkacak ihtiyaçlar, fiyat </w:t>
      </w:r>
      <w:r w:rsidR="00260265" w:rsidRPr="00520178">
        <w:rPr>
          <w:rFonts w:ascii="Times New Roman" w:eastAsia="Times New Roman" w:hAnsi="Times New Roman" w:cs="Times New Roman"/>
          <w:sz w:val="24"/>
          <w:szCs w:val="24"/>
          <w:lang w:eastAsia="tr-TR"/>
        </w:rPr>
        <w:t xml:space="preserve">ve maliyet </w:t>
      </w:r>
      <w:r w:rsidRPr="00520178">
        <w:rPr>
          <w:rFonts w:ascii="Times New Roman" w:eastAsia="Times New Roman" w:hAnsi="Times New Roman" w:cs="Times New Roman"/>
          <w:sz w:val="24"/>
          <w:szCs w:val="24"/>
          <w:lang w:eastAsia="tr-TR"/>
        </w:rPr>
        <w:t>artışları, döviz kuru</w:t>
      </w:r>
      <w:r w:rsidR="00647291" w:rsidRPr="00520178">
        <w:rPr>
          <w:rFonts w:ascii="Times New Roman" w:eastAsia="Times New Roman" w:hAnsi="Times New Roman" w:cs="Times New Roman"/>
          <w:sz w:val="24"/>
          <w:szCs w:val="24"/>
          <w:lang w:eastAsia="tr-TR"/>
        </w:rPr>
        <w:t xml:space="preserve"> ve</w:t>
      </w:r>
      <w:r w:rsidRPr="00520178">
        <w:rPr>
          <w:rFonts w:ascii="Times New Roman" w:eastAsia="Times New Roman" w:hAnsi="Times New Roman" w:cs="Times New Roman"/>
          <w:sz w:val="24"/>
          <w:szCs w:val="24"/>
          <w:lang w:eastAsia="tr-TR"/>
        </w:rPr>
        <w:t xml:space="preserve"> petrol</w:t>
      </w:r>
      <w:r w:rsidR="00997408" w:rsidRPr="00520178">
        <w:rPr>
          <w:rFonts w:ascii="Times New Roman" w:eastAsia="Times New Roman" w:hAnsi="Times New Roman" w:cs="Times New Roman"/>
          <w:sz w:val="24"/>
          <w:szCs w:val="24"/>
          <w:lang w:eastAsia="tr-TR"/>
        </w:rPr>
        <w:t xml:space="preserve"> fiyat tahminleri</w:t>
      </w:r>
      <w:r w:rsidR="00647291" w:rsidRPr="00520178">
        <w:rPr>
          <w:rFonts w:ascii="Times New Roman" w:eastAsia="Times New Roman" w:hAnsi="Times New Roman" w:cs="Times New Roman"/>
          <w:sz w:val="24"/>
          <w:szCs w:val="24"/>
          <w:lang w:eastAsia="tr-TR"/>
        </w:rPr>
        <w:t>,</w:t>
      </w:r>
      <w:r w:rsidRPr="00520178">
        <w:rPr>
          <w:rFonts w:ascii="Times New Roman" w:eastAsia="Times New Roman" w:hAnsi="Times New Roman" w:cs="Times New Roman"/>
          <w:sz w:val="24"/>
          <w:szCs w:val="24"/>
          <w:lang w:eastAsia="tr-TR"/>
        </w:rPr>
        <w:t xml:space="preserve"> kamu hizmetlerinden yararlanacak kişi sayısındaki artış</w:t>
      </w:r>
      <w:r w:rsidR="00706F3F" w:rsidRPr="00520178">
        <w:rPr>
          <w:rFonts w:ascii="Times New Roman" w:eastAsia="Times New Roman" w:hAnsi="Times New Roman" w:cs="Times New Roman"/>
          <w:sz w:val="24"/>
          <w:szCs w:val="24"/>
          <w:lang w:eastAsia="tr-TR"/>
        </w:rPr>
        <w:t xml:space="preserve"> gibi unsurlar </w:t>
      </w:r>
      <w:r w:rsidRPr="00520178">
        <w:rPr>
          <w:rFonts w:ascii="Times New Roman" w:eastAsia="Times New Roman" w:hAnsi="Times New Roman" w:cs="Times New Roman"/>
          <w:sz w:val="24"/>
          <w:szCs w:val="24"/>
          <w:lang w:eastAsia="tr-TR"/>
        </w:rPr>
        <w:t xml:space="preserve">dikkate alınmıştır. </w:t>
      </w:r>
      <w:proofErr w:type="gramEnd"/>
    </w:p>
    <w:p w:rsidR="001A5D63" w:rsidRPr="00520178" w:rsidRDefault="002D5A7B" w:rsidP="001A5D63">
      <w:pPr>
        <w:spacing w:after="120"/>
        <w:ind w:firstLine="567"/>
        <w:jc w:val="both"/>
        <w:rPr>
          <w:rFonts w:ascii="Times New Roman" w:hAnsi="Times New Roman" w:cs="Times New Roman"/>
          <w:color w:val="00B050"/>
          <w:sz w:val="24"/>
          <w:szCs w:val="24"/>
        </w:rPr>
      </w:pPr>
      <w:proofErr w:type="gramStart"/>
      <w:r w:rsidRPr="00520178">
        <w:rPr>
          <w:rFonts w:ascii="Times New Roman" w:eastAsia="Times New Roman" w:hAnsi="Times New Roman" w:cs="Times New Roman"/>
          <w:sz w:val="24"/>
          <w:szCs w:val="24"/>
          <w:lang w:eastAsia="tr-TR"/>
        </w:rPr>
        <w:t>Cari transferlerin belirlenmesinde, başta sosyal güvenlik sisteminin finansman ihtiyacı olmak üzere, tarımsal destekleme ödemeleri,</w:t>
      </w:r>
      <w:r w:rsidR="00A42C70" w:rsidRPr="00520178">
        <w:rPr>
          <w:rFonts w:ascii="Times New Roman" w:eastAsia="Times New Roman" w:hAnsi="Times New Roman" w:cs="Times New Roman"/>
          <w:sz w:val="24"/>
          <w:szCs w:val="24"/>
          <w:lang w:eastAsia="tr-TR"/>
        </w:rPr>
        <w:t xml:space="preserve"> </w:t>
      </w:r>
      <w:r w:rsidR="005A0AB7" w:rsidRPr="00520178">
        <w:rPr>
          <w:rFonts w:ascii="Times New Roman" w:eastAsia="Times New Roman" w:hAnsi="Times New Roman" w:cs="Times New Roman"/>
          <w:sz w:val="24"/>
          <w:szCs w:val="24"/>
          <w:lang w:eastAsia="tr-TR"/>
        </w:rPr>
        <w:t xml:space="preserve">KOBİ </w:t>
      </w:r>
      <w:r w:rsidR="00F24691" w:rsidRPr="00520178">
        <w:rPr>
          <w:rFonts w:ascii="Times New Roman" w:eastAsia="Times New Roman" w:hAnsi="Times New Roman" w:cs="Times New Roman"/>
          <w:sz w:val="24"/>
          <w:szCs w:val="24"/>
          <w:lang w:eastAsia="tr-TR"/>
        </w:rPr>
        <w:t>destekleri</w:t>
      </w:r>
      <w:r w:rsidR="004C7ED8" w:rsidRPr="00520178">
        <w:rPr>
          <w:rFonts w:ascii="Times New Roman" w:eastAsia="Times New Roman" w:hAnsi="Times New Roman" w:cs="Times New Roman"/>
          <w:sz w:val="24"/>
          <w:szCs w:val="24"/>
          <w:lang w:eastAsia="tr-TR"/>
        </w:rPr>
        <w:t>,</w:t>
      </w:r>
      <w:r w:rsidR="00FE1039" w:rsidRPr="00520178">
        <w:rPr>
          <w:rFonts w:ascii="Times New Roman" w:eastAsia="Times New Roman" w:hAnsi="Times New Roman" w:cs="Times New Roman"/>
          <w:sz w:val="24"/>
          <w:szCs w:val="24"/>
          <w:lang w:eastAsia="tr-TR"/>
        </w:rPr>
        <w:t xml:space="preserve"> </w:t>
      </w:r>
      <w:r w:rsidR="00877721" w:rsidRPr="00520178">
        <w:rPr>
          <w:rFonts w:ascii="Times New Roman" w:eastAsia="Times New Roman" w:hAnsi="Times New Roman" w:cs="Times New Roman"/>
          <w:sz w:val="24"/>
          <w:szCs w:val="24"/>
          <w:lang w:eastAsia="tr-TR"/>
        </w:rPr>
        <w:t xml:space="preserve">ekonomi </w:t>
      </w:r>
      <w:r w:rsidR="00F24691" w:rsidRPr="00520178">
        <w:rPr>
          <w:rFonts w:ascii="Times New Roman" w:eastAsia="Times New Roman" w:hAnsi="Times New Roman" w:cs="Times New Roman"/>
          <w:sz w:val="24"/>
          <w:szCs w:val="24"/>
          <w:lang w:eastAsia="tr-TR"/>
        </w:rPr>
        <w:t>teşvik ödemeleri</w:t>
      </w:r>
      <w:r w:rsidR="005423F2" w:rsidRPr="00520178">
        <w:rPr>
          <w:rFonts w:ascii="Times New Roman" w:eastAsia="Times New Roman" w:hAnsi="Times New Roman" w:cs="Times New Roman"/>
          <w:sz w:val="24"/>
          <w:szCs w:val="24"/>
          <w:lang w:eastAsia="tr-TR"/>
        </w:rPr>
        <w:t xml:space="preserve"> ile ihracat destekleri</w:t>
      </w:r>
      <w:r w:rsidR="001A5D63" w:rsidRPr="00520178">
        <w:rPr>
          <w:rFonts w:ascii="Times New Roman" w:eastAsia="Times New Roman" w:hAnsi="Times New Roman" w:cs="Times New Roman"/>
          <w:sz w:val="24"/>
          <w:szCs w:val="24"/>
          <w:lang w:eastAsia="tr-TR"/>
        </w:rPr>
        <w:t>,</w:t>
      </w:r>
      <w:r w:rsidR="00DA68D1" w:rsidRPr="00520178">
        <w:rPr>
          <w:rFonts w:ascii="Times New Roman" w:eastAsia="Calibri" w:hAnsi="Times New Roman" w:cs="Times New Roman"/>
          <w:lang w:val="en-US"/>
        </w:rPr>
        <w:t xml:space="preserve"> </w:t>
      </w:r>
      <w:r w:rsidRPr="00520178">
        <w:rPr>
          <w:rFonts w:ascii="Times New Roman" w:eastAsia="Times New Roman" w:hAnsi="Times New Roman" w:cs="Times New Roman"/>
          <w:sz w:val="24"/>
          <w:szCs w:val="24"/>
          <w:lang w:eastAsia="tr-TR"/>
        </w:rPr>
        <w:t>bireysel emeklilik sist</w:t>
      </w:r>
      <w:r w:rsidR="00961B1C" w:rsidRPr="00520178">
        <w:rPr>
          <w:rFonts w:ascii="Times New Roman" w:eastAsia="Times New Roman" w:hAnsi="Times New Roman" w:cs="Times New Roman"/>
          <w:sz w:val="24"/>
          <w:szCs w:val="24"/>
          <w:lang w:eastAsia="tr-TR"/>
        </w:rPr>
        <w:t xml:space="preserve">emi, </w:t>
      </w:r>
      <w:r w:rsidR="005423F2" w:rsidRPr="00520178">
        <w:rPr>
          <w:rFonts w:ascii="Times New Roman" w:eastAsia="Times New Roman" w:hAnsi="Times New Roman" w:cs="Times New Roman"/>
          <w:sz w:val="24"/>
          <w:szCs w:val="24"/>
          <w:lang w:eastAsia="tr-TR"/>
        </w:rPr>
        <w:t>pansiyon hizmetleri, burs ve harçlıklar</w:t>
      </w:r>
      <w:r w:rsidR="00260265" w:rsidRPr="00520178">
        <w:rPr>
          <w:rFonts w:ascii="Times New Roman" w:eastAsia="Times New Roman" w:hAnsi="Times New Roman" w:cs="Times New Roman"/>
          <w:sz w:val="24"/>
          <w:szCs w:val="24"/>
          <w:lang w:eastAsia="tr-TR"/>
        </w:rPr>
        <w:t xml:space="preserve">, beslenme yardımı, öğrenci katkı payları, </w:t>
      </w:r>
      <w:r w:rsidRPr="00520178">
        <w:rPr>
          <w:rFonts w:ascii="Times New Roman" w:eastAsia="Times New Roman" w:hAnsi="Times New Roman" w:cs="Times New Roman"/>
          <w:sz w:val="24"/>
          <w:szCs w:val="24"/>
          <w:lang w:eastAsia="tr-TR"/>
        </w:rPr>
        <w:t>engelli evde bakımı</w:t>
      </w:r>
      <w:r w:rsidR="00835FEF" w:rsidRPr="00520178">
        <w:rPr>
          <w:rFonts w:ascii="Times New Roman" w:eastAsia="Times New Roman" w:hAnsi="Times New Roman" w:cs="Times New Roman"/>
          <w:sz w:val="24"/>
          <w:szCs w:val="24"/>
          <w:lang w:eastAsia="tr-TR"/>
        </w:rPr>
        <w:t>, doğum yardımı</w:t>
      </w:r>
      <w:r w:rsidR="00F6722F" w:rsidRPr="00520178">
        <w:rPr>
          <w:rFonts w:ascii="Times New Roman" w:eastAsia="Times New Roman" w:hAnsi="Times New Roman" w:cs="Times New Roman"/>
          <w:sz w:val="24"/>
          <w:szCs w:val="24"/>
          <w:lang w:eastAsia="tr-TR"/>
        </w:rPr>
        <w:t>,</w:t>
      </w:r>
      <w:r w:rsidR="00260265" w:rsidRPr="00520178">
        <w:rPr>
          <w:rFonts w:ascii="Times New Roman" w:eastAsia="Times New Roman" w:hAnsi="Times New Roman" w:cs="Times New Roman"/>
          <w:sz w:val="24"/>
          <w:szCs w:val="24"/>
          <w:lang w:eastAsia="tr-TR"/>
        </w:rPr>
        <w:t xml:space="preserve"> yaşlı ve engellilerin ücretsiz taşınması</w:t>
      </w:r>
      <w:r w:rsidR="0077532E" w:rsidRPr="00520178">
        <w:rPr>
          <w:rFonts w:ascii="Times New Roman" w:eastAsia="Times New Roman" w:hAnsi="Times New Roman" w:cs="Times New Roman"/>
          <w:sz w:val="24"/>
          <w:szCs w:val="24"/>
          <w:lang w:eastAsia="tr-TR"/>
        </w:rPr>
        <w:t xml:space="preserve"> gibi</w:t>
      </w:r>
      <w:r w:rsidR="002F0ABC" w:rsidRPr="00520178">
        <w:rPr>
          <w:rFonts w:ascii="Times New Roman" w:eastAsia="Times New Roman" w:hAnsi="Times New Roman" w:cs="Times New Roman"/>
          <w:sz w:val="24"/>
          <w:szCs w:val="24"/>
          <w:lang w:eastAsia="tr-TR"/>
        </w:rPr>
        <w:t xml:space="preserve"> </w:t>
      </w:r>
      <w:r w:rsidR="0077532E" w:rsidRPr="00520178">
        <w:rPr>
          <w:rFonts w:ascii="Times New Roman" w:eastAsia="Times New Roman" w:hAnsi="Times New Roman" w:cs="Times New Roman"/>
          <w:sz w:val="24"/>
          <w:szCs w:val="24"/>
          <w:lang w:eastAsia="tr-TR"/>
        </w:rPr>
        <w:t xml:space="preserve">sosyal yardım, </w:t>
      </w:r>
      <w:r w:rsidR="007A4F07" w:rsidRPr="00520178">
        <w:rPr>
          <w:rFonts w:ascii="Times New Roman" w:eastAsia="Times New Roman" w:hAnsi="Times New Roman" w:cs="Times New Roman"/>
          <w:sz w:val="24"/>
          <w:szCs w:val="24"/>
          <w:lang w:eastAsia="tr-TR"/>
        </w:rPr>
        <w:t xml:space="preserve">teşvik, </w:t>
      </w:r>
      <w:r w:rsidR="0077532E" w:rsidRPr="00520178">
        <w:rPr>
          <w:rFonts w:ascii="Times New Roman" w:eastAsia="Times New Roman" w:hAnsi="Times New Roman" w:cs="Times New Roman"/>
          <w:sz w:val="24"/>
          <w:szCs w:val="24"/>
          <w:lang w:eastAsia="tr-TR"/>
        </w:rPr>
        <w:t>destek vb. programlardan</w:t>
      </w:r>
      <w:r w:rsidRPr="00520178">
        <w:rPr>
          <w:rFonts w:ascii="Times New Roman" w:eastAsia="Times New Roman" w:hAnsi="Times New Roman" w:cs="Times New Roman"/>
          <w:sz w:val="24"/>
          <w:szCs w:val="24"/>
          <w:lang w:eastAsia="tr-TR"/>
        </w:rPr>
        <w:t xml:space="preserve"> yararlanacak kişi </w:t>
      </w:r>
      <w:r w:rsidRPr="00520178">
        <w:rPr>
          <w:rFonts w:ascii="Times New Roman" w:eastAsia="Calibri" w:hAnsi="Times New Roman" w:cs="Times New Roman"/>
          <w:sz w:val="24"/>
          <w:szCs w:val="24"/>
        </w:rPr>
        <w:t>sayısı</w:t>
      </w:r>
      <w:r w:rsidR="009E3839" w:rsidRPr="00520178">
        <w:rPr>
          <w:rFonts w:ascii="Times New Roman" w:eastAsia="Calibri" w:hAnsi="Times New Roman" w:cs="Times New Roman"/>
          <w:sz w:val="24"/>
          <w:szCs w:val="24"/>
        </w:rPr>
        <w:t xml:space="preserve"> </w:t>
      </w:r>
      <w:r w:rsidR="0077532E" w:rsidRPr="00520178">
        <w:rPr>
          <w:rFonts w:ascii="Times New Roman" w:eastAsia="Calibri" w:hAnsi="Times New Roman" w:cs="Times New Roman"/>
          <w:sz w:val="24"/>
          <w:szCs w:val="24"/>
        </w:rPr>
        <w:t>ve</w:t>
      </w:r>
      <w:r w:rsidR="002F0ABC" w:rsidRPr="00520178">
        <w:rPr>
          <w:rFonts w:ascii="Times New Roman" w:eastAsia="Calibri" w:hAnsi="Times New Roman" w:cs="Times New Roman"/>
          <w:sz w:val="24"/>
          <w:szCs w:val="24"/>
        </w:rPr>
        <w:t xml:space="preserve"> </w:t>
      </w:r>
      <w:r w:rsidR="009E3839" w:rsidRPr="00520178">
        <w:rPr>
          <w:rFonts w:ascii="Times New Roman" w:eastAsia="Times New Roman" w:hAnsi="Times New Roman" w:cs="Times New Roman"/>
          <w:sz w:val="24"/>
          <w:szCs w:val="24"/>
          <w:lang w:eastAsia="tr-TR"/>
        </w:rPr>
        <w:t xml:space="preserve">maliyeti </w:t>
      </w:r>
      <w:r w:rsidR="00877721" w:rsidRPr="00520178">
        <w:rPr>
          <w:rFonts w:ascii="Times New Roman" w:eastAsia="Times New Roman" w:hAnsi="Times New Roman" w:cs="Times New Roman"/>
          <w:sz w:val="24"/>
          <w:szCs w:val="24"/>
          <w:lang w:eastAsia="tr-TR"/>
        </w:rPr>
        <w:t xml:space="preserve">etkileyen </w:t>
      </w:r>
      <w:r w:rsidR="009E3839" w:rsidRPr="00520178">
        <w:rPr>
          <w:rFonts w:ascii="Times New Roman" w:eastAsia="Times New Roman" w:hAnsi="Times New Roman" w:cs="Times New Roman"/>
          <w:sz w:val="24"/>
          <w:szCs w:val="24"/>
          <w:lang w:eastAsia="tr-TR"/>
        </w:rPr>
        <w:t>unsurlar</w:t>
      </w:r>
      <w:r w:rsidRPr="00520178">
        <w:rPr>
          <w:rFonts w:ascii="Times New Roman" w:eastAsia="Times New Roman" w:hAnsi="Times New Roman" w:cs="Times New Roman"/>
          <w:sz w:val="24"/>
          <w:szCs w:val="24"/>
          <w:lang w:eastAsia="tr-TR"/>
        </w:rPr>
        <w:t xml:space="preserve"> göz önünde bulundurulmuştur. </w:t>
      </w:r>
      <w:proofErr w:type="gramEnd"/>
      <w:r w:rsidR="00F956FD" w:rsidRPr="00520178">
        <w:rPr>
          <w:rFonts w:ascii="Times New Roman" w:eastAsia="Times New Roman" w:hAnsi="Times New Roman" w:cs="Times New Roman"/>
          <w:sz w:val="24"/>
          <w:szCs w:val="24"/>
          <w:lang w:eastAsia="tr-TR"/>
        </w:rPr>
        <w:t>M</w:t>
      </w:r>
      <w:r w:rsidR="000D5A4A" w:rsidRPr="00520178">
        <w:rPr>
          <w:rFonts w:ascii="Times New Roman" w:eastAsia="Times New Roman" w:hAnsi="Times New Roman" w:cs="Times New Roman"/>
          <w:sz w:val="24"/>
          <w:szCs w:val="24"/>
          <w:lang w:eastAsia="tr-TR"/>
        </w:rPr>
        <w:t>emur maaşlarında toplu sözleşme süreci sonunda yapılan artışların memur emeklilerinin aylıklarında ve emekli ikramiyeleri</w:t>
      </w:r>
      <w:r w:rsidR="00D063A6" w:rsidRPr="00520178">
        <w:rPr>
          <w:rFonts w:ascii="Times New Roman" w:eastAsia="Times New Roman" w:hAnsi="Times New Roman" w:cs="Times New Roman"/>
          <w:sz w:val="24"/>
          <w:szCs w:val="24"/>
          <w:lang w:eastAsia="tr-TR"/>
        </w:rPr>
        <w:t xml:space="preserve">nde oluşturacağı </w:t>
      </w:r>
      <w:r w:rsidR="000D5A4A" w:rsidRPr="00520178">
        <w:rPr>
          <w:rFonts w:ascii="Times New Roman" w:eastAsia="Times New Roman" w:hAnsi="Times New Roman" w:cs="Times New Roman"/>
          <w:sz w:val="24"/>
          <w:szCs w:val="24"/>
          <w:lang w:eastAsia="tr-TR"/>
        </w:rPr>
        <w:t>artış</w:t>
      </w:r>
      <w:r w:rsidR="009E3839" w:rsidRPr="00520178">
        <w:rPr>
          <w:rFonts w:ascii="Times New Roman" w:eastAsia="Times New Roman" w:hAnsi="Times New Roman" w:cs="Times New Roman"/>
          <w:sz w:val="24"/>
          <w:szCs w:val="24"/>
          <w:lang w:eastAsia="tr-TR"/>
        </w:rPr>
        <w:t>lar</w:t>
      </w:r>
      <w:r w:rsidR="000D5A4A" w:rsidRPr="00520178">
        <w:rPr>
          <w:rFonts w:ascii="Times New Roman" w:eastAsia="Times New Roman" w:hAnsi="Times New Roman" w:cs="Times New Roman"/>
          <w:sz w:val="24"/>
          <w:szCs w:val="24"/>
          <w:lang w:eastAsia="tr-TR"/>
        </w:rPr>
        <w:t xml:space="preserve"> </w:t>
      </w:r>
      <w:r w:rsidR="00D063A6" w:rsidRPr="00520178">
        <w:rPr>
          <w:rFonts w:ascii="Times New Roman" w:eastAsia="Times New Roman" w:hAnsi="Times New Roman" w:cs="Times New Roman"/>
          <w:sz w:val="24"/>
          <w:szCs w:val="24"/>
          <w:lang w:eastAsia="tr-TR"/>
        </w:rPr>
        <w:t xml:space="preserve">ile emeklilere dini bayramlarda verilen ikramiyeler </w:t>
      </w:r>
      <w:r w:rsidRPr="00520178">
        <w:rPr>
          <w:rFonts w:ascii="Times New Roman" w:eastAsia="Times New Roman" w:hAnsi="Times New Roman" w:cs="Times New Roman"/>
          <w:sz w:val="24"/>
          <w:szCs w:val="24"/>
          <w:lang w:eastAsia="tr-TR"/>
        </w:rPr>
        <w:t>dikkate alınmıştır</w:t>
      </w:r>
      <w:r w:rsidR="00D063A6" w:rsidRPr="00520178">
        <w:rPr>
          <w:rFonts w:ascii="Times New Roman" w:eastAsia="Times New Roman" w:hAnsi="Times New Roman" w:cs="Times New Roman"/>
          <w:sz w:val="24"/>
          <w:szCs w:val="24"/>
          <w:lang w:eastAsia="tr-TR"/>
        </w:rPr>
        <w:t xml:space="preserve">. </w:t>
      </w:r>
      <w:r w:rsidR="008733C0" w:rsidRPr="00520178">
        <w:rPr>
          <w:rFonts w:ascii="Times New Roman" w:eastAsia="Times New Roman" w:hAnsi="Times New Roman" w:cs="Times New Roman"/>
          <w:sz w:val="24"/>
          <w:szCs w:val="24"/>
          <w:lang w:eastAsia="tr-TR"/>
        </w:rPr>
        <w:t>Ayrıca v</w:t>
      </w:r>
      <w:r w:rsidRPr="00520178">
        <w:rPr>
          <w:rFonts w:ascii="Times New Roman" w:eastAsia="Times New Roman" w:hAnsi="Times New Roman" w:cs="Times New Roman"/>
          <w:sz w:val="24"/>
          <w:szCs w:val="24"/>
          <w:lang w:eastAsia="tr-TR"/>
        </w:rPr>
        <w:t>ergi gelirlerindeki artış</w:t>
      </w:r>
      <w:r w:rsidR="008733C0" w:rsidRPr="00520178">
        <w:rPr>
          <w:rFonts w:ascii="Times New Roman" w:eastAsia="Times New Roman" w:hAnsi="Times New Roman" w:cs="Times New Roman"/>
          <w:sz w:val="24"/>
          <w:szCs w:val="24"/>
          <w:lang w:eastAsia="tr-TR"/>
        </w:rPr>
        <w:t xml:space="preserve"> sonucu</w:t>
      </w:r>
      <w:r w:rsidR="00E452F2" w:rsidRPr="00520178">
        <w:rPr>
          <w:rFonts w:ascii="Times New Roman" w:eastAsia="Times New Roman" w:hAnsi="Times New Roman" w:cs="Times New Roman"/>
          <w:sz w:val="24"/>
          <w:szCs w:val="24"/>
          <w:lang w:eastAsia="tr-TR"/>
        </w:rPr>
        <w:t>nda</w:t>
      </w:r>
      <w:r w:rsidRPr="00520178">
        <w:rPr>
          <w:rFonts w:ascii="Times New Roman" w:eastAsia="Times New Roman" w:hAnsi="Times New Roman" w:cs="Times New Roman"/>
          <w:sz w:val="24"/>
          <w:szCs w:val="24"/>
          <w:lang w:eastAsia="tr-TR"/>
        </w:rPr>
        <w:t xml:space="preserve"> mahalli idare paylarında </w:t>
      </w:r>
      <w:r w:rsidR="00E452F2" w:rsidRPr="00520178">
        <w:rPr>
          <w:rFonts w:ascii="Times New Roman" w:eastAsia="Times New Roman" w:hAnsi="Times New Roman" w:cs="Times New Roman"/>
          <w:sz w:val="24"/>
          <w:szCs w:val="24"/>
          <w:lang w:eastAsia="tr-TR"/>
        </w:rPr>
        <w:t xml:space="preserve">da </w:t>
      </w:r>
      <w:r w:rsidRPr="00520178">
        <w:rPr>
          <w:rFonts w:ascii="Times New Roman" w:eastAsia="Times New Roman" w:hAnsi="Times New Roman" w:cs="Times New Roman"/>
          <w:sz w:val="24"/>
          <w:szCs w:val="24"/>
          <w:lang w:eastAsia="tr-TR"/>
        </w:rPr>
        <w:t>artış gerçekleşeceği varsayılmıştır.</w:t>
      </w:r>
      <w:r w:rsidR="001A5D63" w:rsidRPr="00520178">
        <w:rPr>
          <w:rFonts w:ascii="Times New Roman" w:hAnsi="Times New Roman" w:cs="Times New Roman"/>
          <w:color w:val="00B050"/>
          <w:sz w:val="24"/>
          <w:szCs w:val="24"/>
        </w:rPr>
        <w:t xml:space="preserve"> </w:t>
      </w:r>
    </w:p>
    <w:p w:rsidR="005423F2" w:rsidRPr="00520178" w:rsidRDefault="006573CC" w:rsidP="00933401">
      <w:pPr>
        <w:spacing w:after="120"/>
        <w:ind w:firstLine="567"/>
        <w:jc w:val="both"/>
        <w:rPr>
          <w:rFonts w:ascii="Times New Roman" w:eastAsia="Times New Roman" w:hAnsi="Times New Roman" w:cs="Times New Roman"/>
          <w:sz w:val="24"/>
          <w:szCs w:val="24"/>
          <w:lang w:eastAsia="tr-TR"/>
        </w:rPr>
      </w:pPr>
      <w:proofErr w:type="gramStart"/>
      <w:r w:rsidRPr="00520178">
        <w:rPr>
          <w:rFonts w:ascii="Times New Roman" w:eastAsia="Times New Roman" w:hAnsi="Times New Roman" w:cs="Times New Roman"/>
          <w:sz w:val="24"/>
          <w:szCs w:val="24"/>
          <w:lang w:eastAsia="tr-TR"/>
        </w:rPr>
        <w:t>S</w:t>
      </w:r>
      <w:r w:rsidR="002D5A7B" w:rsidRPr="00520178">
        <w:rPr>
          <w:rFonts w:ascii="Times New Roman" w:eastAsia="Times New Roman" w:hAnsi="Times New Roman" w:cs="Times New Roman"/>
          <w:sz w:val="24"/>
          <w:szCs w:val="24"/>
          <w:lang w:eastAsia="tr-TR"/>
        </w:rPr>
        <w:t>ermaye giderlerinin belirlenmesinde</w:t>
      </w:r>
      <w:r w:rsidR="006815C8" w:rsidRPr="00520178">
        <w:rPr>
          <w:rFonts w:ascii="Times New Roman" w:eastAsia="Times New Roman" w:hAnsi="Times New Roman" w:cs="Times New Roman"/>
          <w:sz w:val="24"/>
          <w:szCs w:val="24"/>
          <w:lang w:eastAsia="tr-TR"/>
        </w:rPr>
        <w:t xml:space="preserve">, </w:t>
      </w:r>
      <w:r w:rsidR="00906DD0" w:rsidRPr="00520178">
        <w:rPr>
          <w:rFonts w:ascii="Times New Roman" w:eastAsia="Times New Roman" w:hAnsi="Times New Roman" w:cs="Times New Roman"/>
          <w:sz w:val="24"/>
          <w:szCs w:val="24"/>
          <w:lang w:eastAsia="tr-TR"/>
        </w:rPr>
        <w:t xml:space="preserve">başta </w:t>
      </w:r>
      <w:r w:rsidR="00460D80" w:rsidRPr="00520178">
        <w:rPr>
          <w:rFonts w:ascii="Times New Roman" w:eastAsia="Times New Roman" w:hAnsi="Times New Roman" w:cs="Times New Roman"/>
          <w:sz w:val="24"/>
          <w:szCs w:val="24"/>
          <w:lang w:eastAsia="tr-TR"/>
        </w:rPr>
        <w:t xml:space="preserve">On Birinci </w:t>
      </w:r>
      <w:r w:rsidR="005B39C3" w:rsidRPr="00520178">
        <w:rPr>
          <w:rFonts w:ascii="Times New Roman" w:eastAsia="Times New Roman" w:hAnsi="Times New Roman" w:cs="Times New Roman"/>
          <w:sz w:val="24"/>
          <w:szCs w:val="24"/>
          <w:lang w:eastAsia="tr-TR"/>
        </w:rPr>
        <w:t>Kalkınma Planının öncelikli imalat sanayii sektörleri</w:t>
      </w:r>
      <w:r w:rsidR="00C46417" w:rsidRPr="00520178">
        <w:rPr>
          <w:rFonts w:ascii="Times New Roman" w:eastAsia="Times New Roman" w:hAnsi="Times New Roman" w:cs="Times New Roman"/>
          <w:sz w:val="24"/>
          <w:szCs w:val="24"/>
          <w:lang w:eastAsia="tr-TR"/>
        </w:rPr>
        <w:t>ne</w:t>
      </w:r>
      <w:r w:rsidR="005B39C3" w:rsidRPr="00520178">
        <w:rPr>
          <w:rFonts w:ascii="Times New Roman" w:eastAsia="Times New Roman" w:hAnsi="Times New Roman" w:cs="Times New Roman"/>
          <w:sz w:val="24"/>
          <w:szCs w:val="24"/>
          <w:lang w:eastAsia="tr-TR"/>
        </w:rPr>
        <w:t xml:space="preserve"> ve bu sektörlere yönelik beşeri ve fiziki altyapıyı güçlendirecek Ar-Ge, dijitalleşme, insan kaynakları, lojistik ve enerji gibi yatay alanlar ile tarım, turizm ve savunma sanayii alanları olmak üzere </w:t>
      </w:r>
      <w:r w:rsidR="002D5A7B" w:rsidRPr="00520178">
        <w:rPr>
          <w:rFonts w:ascii="Times New Roman" w:eastAsia="Times New Roman" w:hAnsi="Times New Roman" w:cs="Times New Roman"/>
          <w:sz w:val="24"/>
          <w:szCs w:val="24"/>
          <w:lang w:eastAsia="tr-TR"/>
        </w:rPr>
        <w:t>kamu yatırımlarına ilişkin belirlenen hedefler</w:t>
      </w:r>
      <w:r w:rsidR="009D4950" w:rsidRPr="00520178">
        <w:rPr>
          <w:rFonts w:ascii="Times New Roman" w:eastAsia="Times New Roman" w:hAnsi="Times New Roman" w:cs="Times New Roman"/>
          <w:sz w:val="24"/>
          <w:szCs w:val="24"/>
          <w:lang w:eastAsia="tr-TR"/>
        </w:rPr>
        <w:t>i</w:t>
      </w:r>
      <w:r w:rsidR="00E975C4" w:rsidRPr="00520178">
        <w:rPr>
          <w:rFonts w:ascii="Times New Roman" w:eastAsia="Times New Roman" w:hAnsi="Times New Roman" w:cs="Times New Roman"/>
          <w:sz w:val="24"/>
          <w:szCs w:val="24"/>
          <w:lang w:eastAsia="tr-TR"/>
        </w:rPr>
        <w:t>,</w:t>
      </w:r>
      <w:r w:rsidR="002D5A7B" w:rsidRPr="00520178">
        <w:rPr>
          <w:rFonts w:ascii="Times New Roman" w:eastAsia="Times New Roman" w:hAnsi="Times New Roman" w:cs="Times New Roman"/>
          <w:sz w:val="24"/>
          <w:szCs w:val="24"/>
          <w:lang w:eastAsia="tr-TR"/>
        </w:rPr>
        <w:t xml:space="preserve"> bölgesel kalkınma projeleri kapsamında yapılacak yatırımlar</w:t>
      </w:r>
      <w:r w:rsidR="00E975C4" w:rsidRPr="00520178">
        <w:rPr>
          <w:rFonts w:ascii="Times New Roman" w:eastAsia="Times New Roman" w:hAnsi="Times New Roman" w:cs="Times New Roman"/>
          <w:sz w:val="24"/>
          <w:szCs w:val="24"/>
          <w:lang w:eastAsia="tr-TR"/>
        </w:rPr>
        <w:t xml:space="preserve"> ile</w:t>
      </w:r>
      <w:r w:rsidR="00906DD0" w:rsidRPr="00520178">
        <w:rPr>
          <w:rFonts w:ascii="Times New Roman" w:eastAsia="Times New Roman" w:hAnsi="Times New Roman" w:cs="Times New Roman"/>
          <w:sz w:val="24"/>
          <w:szCs w:val="24"/>
          <w:lang w:eastAsia="tr-TR"/>
        </w:rPr>
        <w:t xml:space="preserve"> </w:t>
      </w:r>
      <w:r w:rsidR="00E975C4" w:rsidRPr="00520178">
        <w:rPr>
          <w:rFonts w:ascii="Times New Roman" w:eastAsia="Times New Roman" w:hAnsi="Times New Roman" w:cs="Times New Roman"/>
          <w:sz w:val="24"/>
          <w:szCs w:val="24"/>
          <w:lang w:eastAsia="tr-TR"/>
        </w:rPr>
        <w:t xml:space="preserve">KÖİ şehir hastaneleri yatırım giderleri </w:t>
      </w:r>
      <w:r w:rsidR="002D5A7B" w:rsidRPr="00520178">
        <w:rPr>
          <w:rFonts w:ascii="Times New Roman" w:eastAsia="Times New Roman" w:hAnsi="Times New Roman" w:cs="Times New Roman"/>
          <w:sz w:val="24"/>
          <w:szCs w:val="24"/>
          <w:lang w:eastAsia="tr-TR"/>
        </w:rPr>
        <w:t xml:space="preserve">dikkate alınmıştır. </w:t>
      </w:r>
      <w:proofErr w:type="gramEnd"/>
    </w:p>
    <w:p w:rsidR="005423F2"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Sermaye transferlerinin belirlenmesinde, Orta Vadeli Mali Plan döneminde KÖYDES,</w:t>
      </w:r>
      <w:r w:rsidR="00FB1CE0"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SUKAP</w:t>
      </w:r>
      <w:r w:rsidR="00282AEC"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 xml:space="preserve">ve </w:t>
      </w:r>
      <w:r w:rsidR="003F5228" w:rsidRPr="00520178">
        <w:rPr>
          <w:rFonts w:ascii="Times New Roman" w:eastAsia="Times New Roman" w:hAnsi="Times New Roman" w:cs="Times New Roman"/>
          <w:sz w:val="24"/>
          <w:szCs w:val="24"/>
          <w:lang w:eastAsia="tr-TR"/>
        </w:rPr>
        <w:t>Ar-Ge</w:t>
      </w:r>
      <w:r w:rsidR="000756EB"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projel</w:t>
      </w:r>
      <w:r w:rsidR="00282AEC" w:rsidRPr="00520178">
        <w:rPr>
          <w:rFonts w:ascii="Times New Roman" w:eastAsia="Times New Roman" w:hAnsi="Times New Roman" w:cs="Times New Roman"/>
          <w:sz w:val="24"/>
          <w:szCs w:val="24"/>
          <w:lang w:eastAsia="tr-TR"/>
        </w:rPr>
        <w:t>eri</w:t>
      </w:r>
      <w:r w:rsidR="002E224F" w:rsidRPr="00520178">
        <w:rPr>
          <w:rFonts w:ascii="Times New Roman" w:eastAsia="Times New Roman" w:hAnsi="Times New Roman" w:cs="Times New Roman"/>
          <w:color w:val="FF0000"/>
          <w:sz w:val="24"/>
          <w:szCs w:val="24"/>
          <w:lang w:eastAsia="tr-TR"/>
        </w:rPr>
        <w:t xml:space="preserve"> </w:t>
      </w:r>
      <w:r w:rsidR="00DA6CAB" w:rsidRPr="00520178">
        <w:rPr>
          <w:rFonts w:ascii="Times New Roman" w:eastAsia="Times New Roman" w:hAnsi="Times New Roman" w:cs="Times New Roman"/>
          <w:sz w:val="24"/>
          <w:szCs w:val="24"/>
          <w:lang w:eastAsia="tr-TR"/>
        </w:rPr>
        <w:t>ile</w:t>
      </w:r>
      <w:r w:rsidR="00282AEC" w:rsidRPr="00520178">
        <w:rPr>
          <w:rFonts w:ascii="Times New Roman" w:eastAsia="Times New Roman" w:hAnsi="Times New Roman" w:cs="Times New Roman"/>
          <w:sz w:val="24"/>
          <w:szCs w:val="24"/>
          <w:lang w:eastAsia="tr-TR"/>
        </w:rPr>
        <w:t xml:space="preserve"> Sosyal Gelişmeyi Destek Programı (SOGEP) </w:t>
      </w:r>
      <w:r w:rsidRPr="00520178">
        <w:rPr>
          <w:rFonts w:ascii="Times New Roman" w:eastAsia="Times New Roman" w:hAnsi="Times New Roman" w:cs="Times New Roman"/>
          <w:sz w:val="24"/>
          <w:szCs w:val="24"/>
          <w:lang w:eastAsia="tr-TR"/>
        </w:rPr>
        <w:t>dikkate alınmıştır.</w:t>
      </w:r>
      <w:r w:rsidR="00E70BD0" w:rsidRPr="00520178">
        <w:rPr>
          <w:rFonts w:ascii="Times New Roman" w:eastAsia="Times New Roman" w:hAnsi="Times New Roman" w:cs="Times New Roman"/>
          <w:sz w:val="24"/>
          <w:szCs w:val="24"/>
          <w:lang w:eastAsia="tr-TR"/>
        </w:rPr>
        <w:t xml:space="preserve"> </w:t>
      </w:r>
      <w:r w:rsidR="001A5D63" w:rsidRPr="00520178">
        <w:rPr>
          <w:rFonts w:ascii="Times New Roman" w:eastAsia="Times New Roman" w:hAnsi="Times New Roman" w:cs="Times New Roman"/>
          <w:sz w:val="24"/>
          <w:szCs w:val="24"/>
          <w:lang w:eastAsia="tr-TR"/>
        </w:rPr>
        <w:t xml:space="preserve"> </w:t>
      </w:r>
    </w:p>
    <w:p w:rsidR="005423F2"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Borç verme giderlerin</w:t>
      </w:r>
      <w:r w:rsidR="00793CEE" w:rsidRPr="00520178">
        <w:rPr>
          <w:rFonts w:ascii="Times New Roman" w:eastAsia="Times New Roman" w:hAnsi="Times New Roman" w:cs="Times New Roman"/>
          <w:sz w:val="24"/>
          <w:szCs w:val="24"/>
          <w:lang w:eastAsia="tr-TR"/>
        </w:rPr>
        <w:t>in belirlenmesinde,</w:t>
      </w:r>
      <w:r w:rsidRPr="00520178">
        <w:rPr>
          <w:rFonts w:ascii="Times New Roman" w:eastAsia="Times New Roman" w:hAnsi="Times New Roman" w:cs="Times New Roman"/>
          <w:sz w:val="24"/>
          <w:szCs w:val="24"/>
          <w:lang w:eastAsia="tr-TR"/>
        </w:rPr>
        <w:t xml:space="preserve"> KİT’lerin mali yapısı</w:t>
      </w:r>
      <w:r w:rsidR="00A96F05" w:rsidRPr="00520178">
        <w:rPr>
          <w:rFonts w:ascii="Times New Roman" w:eastAsia="Times New Roman" w:hAnsi="Times New Roman" w:cs="Times New Roman"/>
          <w:sz w:val="24"/>
          <w:szCs w:val="24"/>
          <w:lang w:eastAsia="tr-TR"/>
        </w:rPr>
        <w:t xml:space="preserve">, </w:t>
      </w:r>
      <w:r w:rsidR="005423F2" w:rsidRPr="00520178">
        <w:rPr>
          <w:rFonts w:ascii="Times New Roman" w:eastAsia="Times New Roman" w:hAnsi="Times New Roman" w:cs="Times New Roman"/>
          <w:sz w:val="24"/>
          <w:szCs w:val="24"/>
          <w:lang w:eastAsia="tr-TR"/>
        </w:rPr>
        <w:t>Kredi Garanti Fonu</w:t>
      </w:r>
      <w:r w:rsidR="00F61BA6" w:rsidRPr="00520178">
        <w:rPr>
          <w:rFonts w:ascii="Times New Roman" w:eastAsia="Times New Roman" w:hAnsi="Times New Roman" w:cs="Times New Roman"/>
          <w:sz w:val="24"/>
          <w:szCs w:val="24"/>
          <w:lang w:eastAsia="tr-TR"/>
        </w:rPr>
        <w:t>ndan</w:t>
      </w:r>
      <w:r w:rsidR="00D063A6" w:rsidRPr="00520178">
        <w:rPr>
          <w:rFonts w:ascii="Times New Roman" w:eastAsia="Times New Roman" w:hAnsi="Times New Roman" w:cs="Times New Roman"/>
          <w:sz w:val="24"/>
          <w:szCs w:val="24"/>
          <w:lang w:eastAsia="tr-TR"/>
        </w:rPr>
        <w:t xml:space="preserve"> sağlanan kefalet tutarı</w:t>
      </w:r>
      <w:r w:rsidR="00906DD0" w:rsidRPr="00520178">
        <w:rPr>
          <w:rFonts w:ascii="Times New Roman" w:eastAsia="Times New Roman" w:hAnsi="Times New Roman" w:cs="Times New Roman"/>
          <w:sz w:val="24"/>
          <w:szCs w:val="24"/>
          <w:lang w:eastAsia="tr-TR"/>
        </w:rPr>
        <w:t>,</w:t>
      </w:r>
      <w:r w:rsidR="005423F2" w:rsidRPr="00520178">
        <w:rPr>
          <w:rFonts w:ascii="Times New Roman" w:eastAsia="Times New Roman" w:hAnsi="Times New Roman" w:cs="Times New Roman"/>
          <w:sz w:val="24"/>
          <w:szCs w:val="24"/>
          <w:lang w:eastAsia="tr-TR"/>
        </w:rPr>
        <w:t xml:space="preserve"> </w:t>
      </w:r>
      <w:r w:rsidR="009E3839" w:rsidRPr="00520178">
        <w:rPr>
          <w:rFonts w:ascii="Times New Roman" w:eastAsia="Times New Roman" w:hAnsi="Times New Roman" w:cs="Times New Roman"/>
          <w:sz w:val="24"/>
          <w:szCs w:val="24"/>
          <w:lang w:eastAsia="tr-TR"/>
        </w:rPr>
        <w:t>öğrenim</w:t>
      </w:r>
      <w:r w:rsidR="005423F2" w:rsidRPr="00520178">
        <w:rPr>
          <w:rFonts w:ascii="Times New Roman" w:eastAsia="Times New Roman" w:hAnsi="Times New Roman" w:cs="Times New Roman"/>
          <w:sz w:val="24"/>
          <w:szCs w:val="24"/>
          <w:lang w:eastAsia="tr-TR"/>
        </w:rPr>
        <w:t xml:space="preserve"> kredisi tutarı </w:t>
      </w:r>
      <w:r w:rsidR="00961B1C" w:rsidRPr="00520178">
        <w:rPr>
          <w:rFonts w:ascii="Times New Roman" w:eastAsia="Times New Roman" w:hAnsi="Times New Roman" w:cs="Times New Roman"/>
          <w:sz w:val="24"/>
          <w:szCs w:val="24"/>
          <w:lang w:eastAsia="tr-TR"/>
        </w:rPr>
        <w:t>ve</w:t>
      </w:r>
      <w:r w:rsidR="005423F2" w:rsidRPr="00520178">
        <w:rPr>
          <w:rFonts w:ascii="Times New Roman" w:eastAsia="Calibri" w:hAnsi="Times New Roman" w:cs="Times New Roman"/>
          <w:sz w:val="24"/>
          <w:szCs w:val="24"/>
        </w:rPr>
        <w:t xml:space="preserve"> öğrenim kredisin</w:t>
      </w:r>
      <w:r w:rsidR="009E3839" w:rsidRPr="00520178">
        <w:rPr>
          <w:rFonts w:ascii="Times New Roman" w:eastAsia="Calibri" w:hAnsi="Times New Roman" w:cs="Times New Roman"/>
          <w:sz w:val="24"/>
          <w:szCs w:val="24"/>
        </w:rPr>
        <w:t>de</w:t>
      </w:r>
      <w:r w:rsidR="00E452F2" w:rsidRPr="00520178">
        <w:rPr>
          <w:rFonts w:ascii="Times New Roman" w:eastAsia="Calibri" w:hAnsi="Times New Roman" w:cs="Times New Roman"/>
          <w:sz w:val="24"/>
          <w:szCs w:val="24"/>
        </w:rPr>
        <w:t>n yararlanan</w:t>
      </w:r>
      <w:r w:rsidR="009E3839" w:rsidRPr="00520178">
        <w:rPr>
          <w:rFonts w:ascii="Times New Roman" w:eastAsia="Calibri" w:hAnsi="Times New Roman" w:cs="Times New Roman"/>
          <w:sz w:val="24"/>
          <w:szCs w:val="24"/>
        </w:rPr>
        <w:t xml:space="preserve"> öğrenci sayısındaki artış</w:t>
      </w:r>
      <w:r w:rsidR="009E3839"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 xml:space="preserve">dikkate alınmıştır. </w:t>
      </w:r>
    </w:p>
    <w:p w:rsidR="002D5A7B"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lastRenderedPageBreak/>
        <w:t>Yedek ödeneklerin belirlenmesinde</w:t>
      </w:r>
      <w:r w:rsidR="00793CEE" w:rsidRPr="00520178">
        <w:rPr>
          <w:rFonts w:ascii="Times New Roman" w:eastAsia="Times New Roman" w:hAnsi="Times New Roman" w:cs="Times New Roman"/>
          <w:sz w:val="24"/>
          <w:szCs w:val="24"/>
          <w:lang w:eastAsia="tr-TR"/>
        </w:rPr>
        <w:t>,</w:t>
      </w:r>
      <w:r w:rsidRPr="00520178">
        <w:rPr>
          <w:rFonts w:ascii="Times New Roman" w:eastAsia="Times New Roman" w:hAnsi="Times New Roman" w:cs="Times New Roman"/>
          <w:sz w:val="24"/>
          <w:szCs w:val="24"/>
          <w:lang w:eastAsia="tr-TR"/>
        </w:rPr>
        <w:t xml:space="preserve"> yıl içinde ortaya çıkabilecek ihtiyaçlar göz önünde bulundurulmuştur. </w:t>
      </w:r>
    </w:p>
    <w:p w:rsidR="002D5A7B" w:rsidRPr="00520178" w:rsidRDefault="00793CEE"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F</w:t>
      </w:r>
      <w:r w:rsidR="002D5A7B" w:rsidRPr="00520178">
        <w:rPr>
          <w:rFonts w:ascii="Times New Roman" w:eastAsia="Times New Roman" w:hAnsi="Times New Roman" w:cs="Times New Roman"/>
          <w:sz w:val="24"/>
          <w:szCs w:val="24"/>
          <w:lang w:eastAsia="tr-TR"/>
        </w:rPr>
        <w:t>aiz giderlerinin tahmininde</w:t>
      </w:r>
      <w:r w:rsidRPr="00520178">
        <w:rPr>
          <w:rFonts w:ascii="Times New Roman" w:eastAsia="Times New Roman" w:hAnsi="Times New Roman" w:cs="Times New Roman"/>
          <w:sz w:val="24"/>
          <w:szCs w:val="24"/>
          <w:lang w:eastAsia="tr-TR"/>
        </w:rPr>
        <w:t>,</w:t>
      </w:r>
      <w:r w:rsidR="002D5A7B" w:rsidRPr="00520178">
        <w:rPr>
          <w:rFonts w:ascii="Times New Roman" w:eastAsia="Times New Roman" w:hAnsi="Times New Roman" w:cs="Times New Roman"/>
          <w:sz w:val="24"/>
          <w:szCs w:val="24"/>
          <w:lang w:eastAsia="tr-TR"/>
        </w:rPr>
        <w:t xml:space="preserve"> borç stokunun yapısı ve seyri, ulusal ve uluslararası piyasalardaki dalgalanmaların faiz giderlerine olası etkileri dikkate alınmıştır. </w:t>
      </w:r>
    </w:p>
    <w:p w:rsidR="002D5A7B"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Yukarıda yapılan açıklamalar çerçevesinde 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22</w:t>
      </w:r>
      <w:r w:rsidRPr="00520178">
        <w:rPr>
          <w:rFonts w:ascii="Times New Roman" w:eastAsia="Times New Roman" w:hAnsi="Times New Roman" w:cs="Times New Roman"/>
          <w:sz w:val="24"/>
          <w:szCs w:val="24"/>
          <w:lang w:eastAsia="tr-TR"/>
        </w:rPr>
        <w:t xml:space="preserve"> dönemi merkezi yönetim bütçe giderleri Tablo 4’te yer aldığı şekilde belirlenmiştir.</w:t>
      </w:r>
      <w:r w:rsidR="00085B39" w:rsidRPr="00520178">
        <w:rPr>
          <w:rFonts w:ascii="Times New Roman" w:eastAsia="Times New Roman" w:hAnsi="Times New Roman" w:cs="Times New Roman"/>
          <w:sz w:val="24"/>
          <w:szCs w:val="24"/>
          <w:lang w:eastAsia="tr-TR"/>
        </w:rPr>
        <w:t xml:space="preserve"> </w:t>
      </w:r>
    </w:p>
    <w:p w:rsidR="002D5A7B" w:rsidRPr="00520178" w:rsidRDefault="002D5A7B" w:rsidP="00933401">
      <w:pPr>
        <w:spacing w:after="120"/>
        <w:ind w:firstLine="567"/>
        <w:jc w:val="both"/>
        <w:outlineLvl w:val="0"/>
        <w:rPr>
          <w:rFonts w:ascii="Times New Roman" w:eastAsia="Times New Roman" w:hAnsi="Times New Roman" w:cs="Times New Roman"/>
          <w:sz w:val="24"/>
          <w:szCs w:val="24"/>
          <w:lang w:eastAsia="tr-TR"/>
        </w:rPr>
      </w:pPr>
      <w:r w:rsidRPr="00520178">
        <w:rPr>
          <w:rFonts w:ascii="Times New Roman" w:eastAsia="Times New Roman" w:hAnsi="Times New Roman" w:cs="Times New Roman"/>
          <w:b/>
          <w:sz w:val="24"/>
          <w:szCs w:val="24"/>
          <w:lang w:eastAsia="tr-TR"/>
        </w:rPr>
        <w:t>Tablo 4- Ekonomik Sınıflandırma Bazında Merkezi Yönetim Bütçe Giderleri</w:t>
      </w:r>
    </w:p>
    <w:tbl>
      <w:tblPr>
        <w:tblW w:w="8717" w:type="dxa"/>
        <w:jc w:val="center"/>
        <w:tblCellMar>
          <w:left w:w="70" w:type="dxa"/>
          <w:right w:w="70" w:type="dxa"/>
        </w:tblCellMar>
        <w:tblLook w:val="00A0" w:firstRow="1" w:lastRow="0" w:firstColumn="1" w:lastColumn="0" w:noHBand="0" w:noVBand="0"/>
      </w:tblPr>
      <w:tblGrid>
        <w:gridCol w:w="5350"/>
        <w:gridCol w:w="1134"/>
        <w:gridCol w:w="1100"/>
        <w:gridCol w:w="1133"/>
      </w:tblGrid>
      <w:tr w:rsidR="00932F51" w:rsidRPr="00520178" w:rsidTr="009458C0">
        <w:trPr>
          <w:trHeight w:val="20"/>
          <w:jc w:val="center"/>
        </w:trPr>
        <w:tc>
          <w:tcPr>
            <w:tcW w:w="5350" w:type="dxa"/>
            <w:tcBorders>
              <w:top w:val="single" w:sz="8" w:space="0" w:color="auto"/>
              <w:left w:val="single" w:sz="8" w:space="0" w:color="auto"/>
              <w:bottom w:val="single" w:sz="8" w:space="0" w:color="auto"/>
              <w:right w:val="single" w:sz="8" w:space="0" w:color="auto"/>
            </w:tcBorders>
            <w:vAlign w:val="center"/>
            <w:hideMark/>
          </w:tcPr>
          <w:p w:rsidR="002D5A7B" w:rsidRPr="00520178" w:rsidRDefault="002D5A7B" w:rsidP="00933401">
            <w:pPr>
              <w:spacing w:after="0"/>
              <w:jc w:val="center"/>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(Milyon TL)</w:t>
            </w:r>
          </w:p>
        </w:tc>
        <w:tc>
          <w:tcPr>
            <w:tcW w:w="1134" w:type="dxa"/>
            <w:tcBorders>
              <w:top w:val="single" w:sz="8" w:space="0" w:color="auto"/>
              <w:left w:val="nil"/>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20</w:t>
            </w:r>
          </w:p>
        </w:tc>
        <w:tc>
          <w:tcPr>
            <w:tcW w:w="1100" w:type="dxa"/>
            <w:tcBorders>
              <w:top w:val="single" w:sz="8" w:space="0" w:color="auto"/>
              <w:left w:val="nil"/>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21</w:t>
            </w:r>
          </w:p>
        </w:tc>
        <w:tc>
          <w:tcPr>
            <w:tcW w:w="1133" w:type="dxa"/>
            <w:tcBorders>
              <w:top w:val="single" w:sz="8" w:space="0" w:color="auto"/>
              <w:left w:val="nil"/>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22</w:t>
            </w:r>
          </w:p>
        </w:tc>
      </w:tr>
      <w:tr w:rsidR="009458C0" w:rsidRPr="00520178" w:rsidTr="009458C0">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Merkezi Yönetim Bütçe Giderleri</w:t>
            </w:r>
          </w:p>
        </w:tc>
        <w:tc>
          <w:tcPr>
            <w:tcW w:w="1134" w:type="dxa"/>
            <w:tcBorders>
              <w:top w:val="nil"/>
              <w:left w:val="nil"/>
              <w:bottom w:val="single" w:sz="4" w:space="0" w:color="auto"/>
              <w:right w:val="single" w:sz="8" w:space="0" w:color="auto"/>
            </w:tcBorders>
          </w:tcPr>
          <w:p w:rsidR="009458C0" w:rsidRPr="00520178" w:rsidRDefault="009458C0" w:rsidP="009458C0">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1.095.461</w:t>
            </w:r>
          </w:p>
        </w:tc>
        <w:tc>
          <w:tcPr>
            <w:tcW w:w="1100" w:type="dxa"/>
            <w:tcBorders>
              <w:top w:val="nil"/>
              <w:left w:val="nil"/>
              <w:bottom w:val="single" w:sz="4" w:space="0" w:color="auto"/>
              <w:right w:val="single" w:sz="8" w:space="0" w:color="auto"/>
            </w:tcBorders>
          </w:tcPr>
          <w:p w:rsidR="009458C0" w:rsidRPr="00520178" w:rsidRDefault="009458C0" w:rsidP="0096533B">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1.196.92</w:t>
            </w:r>
            <w:r w:rsidR="009F699D" w:rsidRPr="00520178">
              <w:rPr>
                <w:rFonts w:ascii="Times New Roman" w:eastAsia="Times New Roman" w:hAnsi="Times New Roman" w:cs="Times New Roman"/>
                <w:b/>
                <w:sz w:val="24"/>
                <w:szCs w:val="24"/>
                <w:lang w:eastAsia="tr-TR"/>
              </w:rPr>
              <w:t>5</w:t>
            </w:r>
          </w:p>
        </w:tc>
        <w:tc>
          <w:tcPr>
            <w:tcW w:w="1133" w:type="dxa"/>
            <w:tcBorders>
              <w:top w:val="nil"/>
              <w:left w:val="nil"/>
              <w:bottom w:val="single" w:sz="4" w:space="0" w:color="auto"/>
              <w:right w:val="single" w:sz="8" w:space="0" w:color="auto"/>
            </w:tcBorders>
          </w:tcPr>
          <w:p w:rsidR="009458C0" w:rsidRPr="00520178" w:rsidRDefault="009F699D" w:rsidP="009458C0">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1.295.427</w:t>
            </w:r>
          </w:p>
        </w:tc>
      </w:tr>
      <w:tr w:rsidR="009458C0" w:rsidRPr="00520178" w:rsidTr="009458C0">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Faiz Dışı Giderler</w:t>
            </w:r>
          </w:p>
        </w:tc>
        <w:tc>
          <w:tcPr>
            <w:tcW w:w="1134" w:type="dxa"/>
            <w:tcBorders>
              <w:top w:val="nil"/>
              <w:left w:val="nil"/>
              <w:bottom w:val="single" w:sz="4" w:space="0" w:color="auto"/>
              <w:right w:val="single" w:sz="8" w:space="0" w:color="auto"/>
            </w:tcBorders>
          </w:tcPr>
          <w:p w:rsidR="009458C0" w:rsidRPr="00520178" w:rsidRDefault="009458C0" w:rsidP="009458C0">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956.521</w:t>
            </w:r>
          </w:p>
        </w:tc>
        <w:tc>
          <w:tcPr>
            <w:tcW w:w="1100" w:type="dxa"/>
            <w:tcBorders>
              <w:top w:val="nil"/>
              <w:left w:val="nil"/>
              <w:bottom w:val="single" w:sz="4" w:space="0" w:color="auto"/>
              <w:right w:val="single" w:sz="8" w:space="0" w:color="auto"/>
            </w:tcBorders>
          </w:tcPr>
          <w:p w:rsidR="009458C0" w:rsidRPr="00520178" w:rsidRDefault="009458C0" w:rsidP="0096533B">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1.037.42</w:t>
            </w:r>
            <w:r w:rsidR="009F699D" w:rsidRPr="00520178">
              <w:rPr>
                <w:rFonts w:ascii="Times New Roman" w:eastAsia="Times New Roman" w:hAnsi="Times New Roman" w:cs="Times New Roman"/>
                <w:b/>
                <w:sz w:val="24"/>
                <w:szCs w:val="24"/>
                <w:lang w:eastAsia="tr-TR"/>
              </w:rPr>
              <w:t>5</w:t>
            </w:r>
          </w:p>
        </w:tc>
        <w:tc>
          <w:tcPr>
            <w:tcW w:w="1133" w:type="dxa"/>
            <w:tcBorders>
              <w:top w:val="nil"/>
              <w:left w:val="nil"/>
              <w:bottom w:val="single" w:sz="4" w:space="0" w:color="auto"/>
              <w:right w:val="single" w:sz="8" w:space="0" w:color="auto"/>
            </w:tcBorders>
          </w:tcPr>
          <w:p w:rsidR="009458C0" w:rsidRPr="00520178" w:rsidRDefault="009F699D" w:rsidP="009458C0">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1.119.027</w:t>
            </w:r>
          </w:p>
        </w:tc>
      </w:tr>
      <w:tr w:rsidR="009458C0" w:rsidRPr="00520178" w:rsidTr="009458C0">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Personel Giderleri</w:t>
            </w:r>
          </w:p>
        </w:tc>
        <w:tc>
          <w:tcPr>
            <w:tcW w:w="1134" w:type="dxa"/>
            <w:tcBorders>
              <w:top w:val="nil"/>
              <w:left w:val="nil"/>
              <w:bottom w:val="single" w:sz="4" w:space="0" w:color="auto"/>
              <w:right w:val="single" w:sz="8" w:space="0" w:color="auto"/>
            </w:tcBorders>
          </w:tcPr>
          <w:p w:rsidR="009458C0" w:rsidRPr="00520178" w:rsidRDefault="003A75F4"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282</w:t>
            </w:r>
            <w:r w:rsidR="009458C0" w:rsidRPr="00520178">
              <w:rPr>
                <w:rFonts w:ascii="Times New Roman" w:eastAsia="Times New Roman" w:hAnsi="Times New Roman" w:cs="Times New Roman"/>
                <w:sz w:val="24"/>
                <w:szCs w:val="24"/>
                <w:lang w:eastAsia="tr-TR"/>
              </w:rPr>
              <w:t>.</w:t>
            </w:r>
            <w:r w:rsidR="009F699D" w:rsidRPr="00520178">
              <w:rPr>
                <w:rFonts w:ascii="Times New Roman" w:eastAsia="Times New Roman" w:hAnsi="Times New Roman" w:cs="Times New Roman"/>
                <w:sz w:val="24"/>
                <w:szCs w:val="24"/>
                <w:lang w:eastAsia="tr-TR"/>
              </w:rPr>
              <w:t>48</w:t>
            </w:r>
            <w:r w:rsidRPr="00520178">
              <w:rPr>
                <w:rFonts w:ascii="Times New Roman" w:eastAsia="Times New Roman" w:hAnsi="Times New Roman" w:cs="Times New Roman"/>
                <w:sz w:val="24"/>
                <w:szCs w:val="24"/>
                <w:lang w:eastAsia="tr-TR"/>
              </w:rPr>
              <w:t>8</w:t>
            </w:r>
          </w:p>
        </w:tc>
        <w:tc>
          <w:tcPr>
            <w:tcW w:w="1100" w:type="dxa"/>
            <w:tcBorders>
              <w:top w:val="nil"/>
              <w:left w:val="nil"/>
              <w:bottom w:val="single" w:sz="4" w:space="0" w:color="auto"/>
              <w:right w:val="single" w:sz="8" w:space="0" w:color="auto"/>
            </w:tcBorders>
          </w:tcPr>
          <w:p w:rsidR="009458C0" w:rsidRPr="00520178" w:rsidRDefault="003A75F4"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305.</w:t>
            </w:r>
            <w:r w:rsidR="009F699D" w:rsidRPr="00520178">
              <w:rPr>
                <w:rFonts w:ascii="Times New Roman" w:eastAsia="Times New Roman" w:hAnsi="Times New Roman" w:cs="Times New Roman"/>
                <w:sz w:val="24"/>
                <w:szCs w:val="24"/>
                <w:lang w:eastAsia="tr-TR"/>
              </w:rPr>
              <w:t>195</w:t>
            </w:r>
          </w:p>
        </w:tc>
        <w:tc>
          <w:tcPr>
            <w:tcW w:w="1133"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3</w:t>
            </w:r>
            <w:r w:rsidR="009F699D" w:rsidRPr="00520178">
              <w:rPr>
                <w:rFonts w:ascii="Times New Roman" w:eastAsia="Times New Roman" w:hAnsi="Times New Roman" w:cs="Times New Roman"/>
                <w:sz w:val="24"/>
                <w:szCs w:val="24"/>
                <w:lang w:eastAsia="tr-TR"/>
              </w:rPr>
              <w:t>27</w:t>
            </w:r>
            <w:r w:rsidR="003A75F4" w:rsidRPr="00520178">
              <w:rPr>
                <w:rFonts w:ascii="Times New Roman" w:eastAsia="Times New Roman" w:hAnsi="Times New Roman" w:cs="Times New Roman"/>
                <w:sz w:val="24"/>
                <w:szCs w:val="24"/>
                <w:lang w:eastAsia="tr-TR"/>
              </w:rPr>
              <w:t>.</w:t>
            </w:r>
            <w:r w:rsidR="009F699D" w:rsidRPr="00520178">
              <w:rPr>
                <w:rFonts w:ascii="Times New Roman" w:eastAsia="Times New Roman" w:hAnsi="Times New Roman" w:cs="Times New Roman"/>
                <w:sz w:val="24"/>
                <w:szCs w:val="24"/>
                <w:lang w:eastAsia="tr-TR"/>
              </w:rPr>
              <w:t>383</w:t>
            </w:r>
          </w:p>
        </w:tc>
      </w:tr>
      <w:tr w:rsidR="009458C0" w:rsidRPr="00520178" w:rsidTr="00F41DC6">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Sosyal Güvenlik Kurumlarına Devlet Primi Giderleri</w:t>
            </w:r>
          </w:p>
        </w:tc>
        <w:tc>
          <w:tcPr>
            <w:tcW w:w="1134"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4</w:t>
            </w:r>
            <w:r w:rsidR="009F699D" w:rsidRPr="00520178">
              <w:rPr>
                <w:rFonts w:ascii="Times New Roman" w:eastAsia="Times New Roman" w:hAnsi="Times New Roman" w:cs="Times New Roman"/>
                <w:sz w:val="24"/>
                <w:szCs w:val="24"/>
                <w:lang w:eastAsia="tr-TR"/>
              </w:rPr>
              <w:t>8</w:t>
            </w:r>
            <w:r w:rsidRPr="00520178">
              <w:rPr>
                <w:rFonts w:ascii="Times New Roman" w:eastAsia="Times New Roman" w:hAnsi="Times New Roman" w:cs="Times New Roman"/>
                <w:sz w:val="24"/>
                <w:szCs w:val="24"/>
                <w:lang w:eastAsia="tr-TR"/>
              </w:rPr>
              <w:t>.</w:t>
            </w:r>
            <w:r w:rsidR="009F699D" w:rsidRPr="00520178">
              <w:rPr>
                <w:rFonts w:ascii="Times New Roman" w:eastAsia="Times New Roman" w:hAnsi="Times New Roman" w:cs="Times New Roman"/>
                <w:sz w:val="24"/>
                <w:szCs w:val="24"/>
                <w:lang w:eastAsia="tr-TR"/>
              </w:rPr>
              <w:t>120</w:t>
            </w:r>
          </w:p>
        </w:tc>
        <w:tc>
          <w:tcPr>
            <w:tcW w:w="1100"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w:t>
            </w:r>
            <w:r w:rsidR="009F699D"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w:t>
            </w:r>
            <w:r w:rsidR="009F699D" w:rsidRPr="00520178">
              <w:rPr>
                <w:rFonts w:ascii="Times New Roman" w:eastAsia="Times New Roman" w:hAnsi="Times New Roman" w:cs="Times New Roman"/>
                <w:sz w:val="24"/>
                <w:szCs w:val="24"/>
                <w:lang w:eastAsia="tr-TR"/>
              </w:rPr>
              <w:t>091</w:t>
            </w:r>
          </w:p>
        </w:tc>
        <w:tc>
          <w:tcPr>
            <w:tcW w:w="1133" w:type="dxa"/>
            <w:tcBorders>
              <w:top w:val="nil"/>
              <w:left w:val="nil"/>
              <w:bottom w:val="single" w:sz="4" w:space="0" w:color="auto"/>
              <w:right w:val="single" w:sz="8" w:space="0" w:color="auto"/>
            </w:tcBorders>
          </w:tcPr>
          <w:p w:rsidR="009458C0" w:rsidRPr="00520178" w:rsidRDefault="009F699D"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56</w:t>
            </w:r>
            <w:r w:rsidR="009458C0" w:rsidRPr="00520178">
              <w:rPr>
                <w:rFonts w:ascii="Times New Roman" w:eastAsia="Times New Roman" w:hAnsi="Times New Roman" w:cs="Times New Roman"/>
                <w:sz w:val="24"/>
                <w:szCs w:val="24"/>
                <w:lang w:eastAsia="tr-TR"/>
              </w:rPr>
              <w:t>.0</w:t>
            </w:r>
            <w:r w:rsidRPr="00520178">
              <w:rPr>
                <w:rFonts w:ascii="Times New Roman" w:eastAsia="Times New Roman" w:hAnsi="Times New Roman" w:cs="Times New Roman"/>
                <w:sz w:val="24"/>
                <w:szCs w:val="24"/>
                <w:lang w:eastAsia="tr-TR"/>
              </w:rPr>
              <w:t>51</w:t>
            </w:r>
          </w:p>
        </w:tc>
      </w:tr>
      <w:tr w:rsidR="009458C0" w:rsidRPr="00520178" w:rsidTr="00F41DC6">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Mal ve Hizmet Alım Giderleri</w:t>
            </w:r>
          </w:p>
        </w:tc>
        <w:tc>
          <w:tcPr>
            <w:tcW w:w="1134" w:type="dxa"/>
            <w:tcBorders>
              <w:top w:val="nil"/>
              <w:left w:val="nil"/>
              <w:bottom w:val="single" w:sz="4" w:space="0" w:color="auto"/>
              <w:right w:val="single" w:sz="8" w:space="0" w:color="auto"/>
            </w:tcBorders>
          </w:tcPr>
          <w:p w:rsidR="009458C0" w:rsidRPr="00520178" w:rsidRDefault="009F699D"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75</w:t>
            </w:r>
            <w:r w:rsidR="009458C0" w:rsidRPr="00520178">
              <w:rPr>
                <w:rFonts w:ascii="Times New Roman" w:eastAsia="Times New Roman" w:hAnsi="Times New Roman" w:cs="Times New Roman"/>
                <w:sz w:val="24"/>
                <w:szCs w:val="24"/>
                <w:lang w:eastAsia="tr-TR"/>
              </w:rPr>
              <w:t>.</w:t>
            </w:r>
            <w:r w:rsidRPr="00520178">
              <w:rPr>
                <w:rFonts w:ascii="Times New Roman" w:eastAsia="Times New Roman" w:hAnsi="Times New Roman" w:cs="Times New Roman"/>
                <w:sz w:val="24"/>
                <w:szCs w:val="24"/>
                <w:lang w:eastAsia="tr-TR"/>
              </w:rPr>
              <w:t>550</w:t>
            </w:r>
          </w:p>
        </w:tc>
        <w:tc>
          <w:tcPr>
            <w:tcW w:w="1100"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81.</w:t>
            </w:r>
            <w:r w:rsidR="009F699D" w:rsidRPr="00520178">
              <w:rPr>
                <w:rFonts w:ascii="Times New Roman" w:eastAsia="Times New Roman" w:hAnsi="Times New Roman" w:cs="Times New Roman"/>
                <w:sz w:val="24"/>
                <w:szCs w:val="24"/>
                <w:lang w:eastAsia="tr-TR"/>
              </w:rPr>
              <w:t>989</w:t>
            </w:r>
          </w:p>
        </w:tc>
        <w:tc>
          <w:tcPr>
            <w:tcW w:w="1133"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88.</w:t>
            </w:r>
            <w:r w:rsidR="009F699D" w:rsidRPr="00520178">
              <w:rPr>
                <w:rFonts w:ascii="Times New Roman" w:eastAsia="Times New Roman" w:hAnsi="Times New Roman" w:cs="Times New Roman"/>
                <w:sz w:val="24"/>
                <w:szCs w:val="24"/>
                <w:lang w:eastAsia="tr-TR"/>
              </w:rPr>
              <w:t>418</w:t>
            </w:r>
          </w:p>
        </w:tc>
      </w:tr>
      <w:tr w:rsidR="009458C0" w:rsidRPr="00520178" w:rsidTr="00F41DC6">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Cari Transferler</w:t>
            </w:r>
          </w:p>
        </w:tc>
        <w:tc>
          <w:tcPr>
            <w:tcW w:w="1134"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451.1</w:t>
            </w:r>
            <w:r w:rsidR="009F699D" w:rsidRPr="00520178">
              <w:rPr>
                <w:rFonts w:ascii="Times New Roman" w:eastAsia="Times New Roman" w:hAnsi="Times New Roman" w:cs="Times New Roman"/>
                <w:sz w:val="24"/>
                <w:szCs w:val="24"/>
                <w:lang w:eastAsia="tr-TR"/>
              </w:rPr>
              <w:t>2</w:t>
            </w:r>
            <w:r w:rsidR="007702BE" w:rsidRPr="00520178">
              <w:rPr>
                <w:rFonts w:ascii="Times New Roman" w:eastAsia="Times New Roman" w:hAnsi="Times New Roman" w:cs="Times New Roman"/>
                <w:sz w:val="24"/>
                <w:szCs w:val="24"/>
                <w:lang w:eastAsia="tr-TR"/>
              </w:rPr>
              <w:t>2</w:t>
            </w:r>
          </w:p>
        </w:tc>
        <w:tc>
          <w:tcPr>
            <w:tcW w:w="1100"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492.6</w:t>
            </w:r>
            <w:r w:rsidR="009F699D" w:rsidRPr="00520178">
              <w:rPr>
                <w:rFonts w:ascii="Times New Roman" w:eastAsia="Times New Roman" w:hAnsi="Times New Roman" w:cs="Times New Roman"/>
                <w:sz w:val="24"/>
                <w:szCs w:val="24"/>
                <w:lang w:eastAsia="tr-TR"/>
              </w:rPr>
              <w:t>03</w:t>
            </w:r>
          </w:p>
        </w:tc>
        <w:tc>
          <w:tcPr>
            <w:tcW w:w="1133" w:type="dxa"/>
            <w:tcBorders>
              <w:top w:val="nil"/>
              <w:left w:val="nil"/>
              <w:bottom w:val="single" w:sz="4" w:space="0" w:color="auto"/>
              <w:right w:val="single" w:sz="8" w:space="0" w:color="auto"/>
            </w:tcBorders>
            <w:shd w:val="clear" w:color="auto" w:fill="auto"/>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533.8</w:t>
            </w:r>
            <w:r w:rsidR="009F699D" w:rsidRPr="00520178">
              <w:rPr>
                <w:rFonts w:ascii="Times New Roman" w:eastAsia="Times New Roman" w:hAnsi="Times New Roman" w:cs="Times New Roman"/>
                <w:sz w:val="24"/>
                <w:szCs w:val="24"/>
                <w:lang w:eastAsia="tr-TR"/>
              </w:rPr>
              <w:t>01</w:t>
            </w:r>
          </w:p>
        </w:tc>
      </w:tr>
      <w:tr w:rsidR="009458C0" w:rsidRPr="00520178" w:rsidTr="00F41DC6">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Sermaye Giderleri</w:t>
            </w:r>
          </w:p>
        </w:tc>
        <w:tc>
          <w:tcPr>
            <w:tcW w:w="1134" w:type="dxa"/>
            <w:tcBorders>
              <w:top w:val="nil"/>
              <w:left w:val="nil"/>
              <w:bottom w:val="single" w:sz="4" w:space="0" w:color="auto"/>
              <w:right w:val="single" w:sz="8" w:space="0" w:color="auto"/>
            </w:tcBorders>
          </w:tcPr>
          <w:p w:rsidR="009458C0" w:rsidRPr="00520178" w:rsidRDefault="009F699D"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56.607</w:t>
            </w:r>
          </w:p>
        </w:tc>
        <w:tc>
          <w:tcPr>
            <w:tcW w:w="1100" w:type="dxa"/>
            <w:tcBorders>
              <w:top w:val="nil"/>
              <w:left w:val="nil"/>
              <w:bottom w:val="single" w:sz="4" w:space="0" w:color="auto"/>
              <w:right w:val="single" w:sz="8" w:space="0" w:color="auto"/>
            </w:tcBorders>
          </w:tcPr>
          <w:p w:rsidR="009458C0" w:rsidRPr="00520178" w:rsidRDefault="009F699D"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59</w:t>
            </w:r>
            <w:r w:rsidR="009458C0" w:rsidRPr="00520178">
              <w:rPr>
                <w:rFonts w:ascii="Times New Roman" w:eastAsia="Times New Roman" w:hAnsi="Times New Roman" w:cs="Times New Roman"/>
                <w:sz w:val="24"/>
                <w:szCs w:val="24"/>
                <w:lang w:eastAsia="tr-TR"/>
              </w:rPr>
              <w:t>.</w:t>
            </w:r>
            <w:r w:rsidRPr="00520178">
              <w:rPr>
                <w:rFonts w:ascii="Times New Roman" w:eastAsia="Times New Roman" w:hAnsi="Times New Roman" w:cs="Times New Roman"/>
                <w:sz w:val="24"/>
                <w:szCs w:val="24"/>
                <w:lang w:eastAsia="tr-TR"/>
              </w:rPr>
              <w:t>999</w:t>
            </w:r>
          </w:p>
        </w:tc>
        <w:tc>
          <w:tcPr>
            <w:tcW w:w="1133" w:type="dxa"/>
            <w:tcBorders>
              <w:top w:val="nil"/>
              <w:left w:val="nil"/>
              <w:bottom w:val="single" w:sz="4" w:space="0" w:color="auto"/>
              <w:right w:val="single" w:sz="8" w:space="0" w:color="auto"/>
            </w:tcBorders>
          </w:tcPr>
          <w:p w:rsidR="009458C0" w:rsidRPr="00520178" w:rsidRDefault="009F699D" w:rsidP="009458C0">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65.634</w:t>
            </w:r>
          </w:p>
        </w:tc>
      </w:tr>
      <w:tr w:rsidR="009458C0" w:rsidRPr="00520178" w:rsidTr="00F41DC6">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Sermaye Transferleri</w:t>
            </w:r>
          </w:p>
        </w:tc>
        <w:tc>
          <w:tcPr>
            <w:tcW w:w="1134"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6.7</w:t>
            </w:r>
            <w:r w:rsidR="009F699D" w:rsidRPr="00520178">
              <w:rPr>
                <w:rFonts w:ascii="Times New Roman" w:eastAsia="Times New Roman" w:hAnsi="Times New Roman" w:cs="Times New Roman"/>
                <w:sz w:val="24"/>
                <w:szCs w:val="24"/>
                <w:lang w:eastAsia="tr-TR"/>
              </w:rPr>
              <w:t>84</w:t>
            </w:r>
          </w:p>
        </w:tc>
        <w:tc>
          <w:tcPr>
            <w:tcW w:w="1100"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7.</w:t>
            </w:r>
            <w:r w:rsidR="009F699D" w:rsidRPr="00520178">
              <w:rPr>
                <w:rFonts w:ascii="Times New Roman" w:eastAsia="Times New Roman" w:hAnsi="Times New Roman" w:cs="Times New Roman"/>
                <w:sz w:val="24"/>
                <w:szCs w:val="24"/>
                <w:lang w:eastAsia="tr-TR"/>
              </w:rPr>
              <w:t>231</w:t>
            </w:r>
          </w:p>
        </w:tc>
        <w:tc>
          <w:tcPr>
            <w:tcW w:w="1133"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7.</w:t>
            </w:r>
            <w:r w:rsidR="009F699D" w:rsidRPr="00520178">
              <w:rPr>
                <w:rFonts w:ascii="Times New Roman" w:eastAsia="Times New Roman" w:hAnsi="Times New Roman" w:cs="Times New Roman"/>
                <w:sz w:val="24"/>
                <w:szCs w:val="24"/>
                <w:lang w:eastAsia="tr-TR"/>
              </w:rPr>
              <w:t>623</w:t>
            </w:r>
          </w:p>
        </w:tc>
      </w:tr>
      <w:tr w:rsidR="009458C0" w:rsidRPr="00520178" w:rsidTr="00F41DC6">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Borç Verme</w:t>
            </w:r>
          </w:p>
        </w:tc>
        <w:tc>
          <w:tcPr>
            <w:tcW w:w="1134"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27.</w:t>
            </w:r>
            <w:r w:rsidR="009F699D" w:rsidRPr="00520178">
              <w:rPr>
                <w:rFonts w:ascii="Times New Roman" w:eastAsia="Times New Roman" w:hAnsi="Times New Roman" w:cs="Times New Roman"/>
                <w:sz w:val="24"/>
                <w:szCs w:val="24"/>
                <w:lang w:eastAsia="tr-TR"/>
              </w:rPr>
              <w:t>087</w:t>
            </w:r>
          </w:p>
        </w:tc>
        <w:tc>
          <w:tcPr>
            <w:tcW w:w="1100" w:type="dxa"/>
            <w:tcBorders>
              <w:top w:val="nil"/>
              <w:left w:val="nil"/>
              <w:bottom w:val="single" w:sz="4" w:space="0" w:color="auto"/>
              <w:right w:val="single" w:sz="8" w:space="0" w:color="auto"/>
            </w:tcBorders>
          </w:tcPr>
          <w:p w:rsidR="009458C0" w:rsidRPr="00520178" w:rsidRDefault="009F699D" w:rsidP="009458C0">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29.17</w:t>
            </w:r>
            <w:r w:rsidR="009458C0" w:rsidRPr="00520178">
              <w:rPr>
                <w:rFonts w:ascii="Times New Roman" w:eastAsia="Times New Roman" w:hAnsi="Times New Roman" w:cs="Times New Roman"/>
                <w:sz w:val="24"/>
                <w:szCs w:val="24"/>
                <w:lang w:eastAsia="tr-TR"/>
              </w:rPr>
              <w:t>7</w:t>
            </w:r>
          </w:p>
        </w:tc>
        <w:tc>
          <w:tcPr>
            <w:tcW w:w="1133" w:type="dxa"/>
            <w:tcBorders>
              <w:top w:val="nil"/>
              <w:left w:val="nil"/>
              <w:bottom w:val="single" w:sz="4" w:space="0" w:color="auto"/>
              <w:right w:val="single" w:sz="8" w:space="0" w:color="auto"/>
            </w:tcBorders>
          </w:tcPr>
          <w:p w:rsidR="009458C0" w:rsidRPr="00520178" w:rsidRDefault="009458C0" w:rsidP="009F699D">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30.</w:t>
            </w:r>
            <w:r w:rsidR="009F699D" w:rsidRPr="00520178">
              <w:rPr>
                <w:rFonts w:ascii="Times New Roman" w:eastAsia="Times New Roman" w:hAnsi="Times New Roman" w:cs="Times New Roman"/>
                <w:sz w:val="24"/>
                <w:szCs w:val="24"/>
                <w:lang w:eastAsia="tr-TR"/>
              </w:rPr>
              <w:t>461</w:t>
            </w:r>
          </w:p>
        </w:tc>
      </w:tr>
      <w:tr w:rsidR="009458C0" w:rsidRPr="00520178" w:rsidTr="00F41DC6">
        <w:trPr>
          <w:trHeight w:val="20"/>
          <w:jc w:val="center"/>
        </w:trPr>
        <w:tc>
          <w:tcPr>
            <w:tcW w:w="5350" w:type="dxa"/>
            <w:tcBorders>
              <w:top w:val="nil"/>
              <w:left w:val="single" w:sz="8" w:space="0" w:color="auto"/>
              <w:bottom w:val="single" w:sz="4"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Yedek Ödenek</w:t>
            </w:r>
          </w:p>
        </w:tc>
        <w:tc>
          <w:tcPr>
            <w:tcW w:w="1134" w:type="dxa"/>
            <w:tcBorders>
              <w:top w:val="nil"/>
              <w:left w:val="nil"/>
              <w:bottom w:val="single" w:sz="4" w:space="0" w:color="auto"/>
              <w:right w:val="single" w:sz="8" w:space="0" w:color="auto"/>
            </w:tcBorders>
          </w:tcPr>
          <w:p w:rsidR="009458C0" w:rsidRPr="00520178" w:rsidRDefault="003A75F4" w:rsidP="009458C0">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8.7</w:t>
            </w:r>
            <w:r w:rsidR="009458C0" w:rsidRPr="00520178">
              <w:rPr>
                <w:rFonts w:ascii="Times New Roman" w:eastAsia="Times New Roman" w:hAnsi="Times New Roman" w:cs="Times New Roman"/>
                <w:sz w:val="24"/>
                <w:szCs w:val="24"/>
                <w:lang w:eastAsia="tr-TR"/>
              </w:rPr>
              <w:t>64</w:t>
            </w:r>
          </w:p>
        </w:tc>
        <w:tc>
          <w:tcPr>
            <w:tcW w:w="1100" w:type="dxa"/>
            <w:tcBorders>
              <w:top w:val="nil"/>
              <w:left w:val="nil"/>
              <w:bottom w:val="single" w:sz="4" w:space="0" w:color="auto"/>
              <w:right w:val="single" w:sz="8" w:space="0" w:color="auto"/>
            </w:tcBorders>
          </w:tcPr>
          <w:p w:rsidR="009458C0" w:rsidRPr="00520178" w:rsidRDefault="003A75F4" w:rsidP="009458C0">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9.1</w:t>
            </w:r>
            <w:r w:rsidR="009458C0" w:rsidRPr="00520178">
              <w:rPr>
                <w:rFonts w:ascii="Times New Roman" w:eastAsia="Times New Roman" w:hAnsi="Times New Roman" w:cs="Times New Roman"/>
                <w:sz w:val="24"/>
                <w:szCs w:val="24"/>
                <w:lang w:eastAsia="tr-TR"/>
              </w:rPr>
              <w:t>39</w:t>
            </w:r>
          </w:p>
        </w:tc>
        <w:tc>
          <w:tcPr>
            <w:tcW w:w="1133" w:type="dxa"/>
            <w:tcBorders>
              <w:top w:val="nil"/>
              <w:left w:val="nil"/>
              <w:bottom w:val="single" w:sz="4" w:space="0" w:color="auto"/>
              <w:right w:val="single" w:sz="8" w:space="0" w:color="auto"/>
            </w:tcBorders>
          </w:tcPr>
          <w:p w:rsidR="009458C0" w:rsidRPr="00520178" w:rsidRDefault="003A75F4" w:rsidP="009458C0">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9.6</w:t>
            </w:r>
            <w:r w:rsidR="009458C0" w:rsidRPr="00520178">
              <w:rPr>
                <w:rFonts w:ascii="Times New Roman" w:eastAsia="Times New Roman" w:hAnsi="Times New Roman" w:cs="Times New Roman"/>
                <w:sz w:val="24"/>
                <w:szCs w:val="24"/>
                <w:lang w:eastAsia="tr-TR"/>
              </w:rPr>
              <w:t>55</w:t>
            </w:r>
          </w:p>
        </w:tc>
      </w:tr>
      <w:tr w:rsidR="009458C0" w:rsidRPr="00520178" w:rsidTr="009458C0">
        <w:trPr>
          <w:trHeight w:val="274"/>
          <w:jc w:val="center"/>
        </w:trPr>
        <w:tc>
          <w:tcPr>
            <w:tcW w:w="5350" w:type="dxa"/>
            <w:tcBorders>
              <w:top w:val="single" w:sz="4" w:space="0" w:color="auto"/>
              <w:left w:val="single" w:sz="8" w:space="0" w:color="auto"/>
              <w:bottom w:val="single" w:sz="8" w:space="0" w:color="auto"/>
              <w:right w:val="single" w:sz="8" w:space="0" w:color="auto"/>
            </w:tcBorders>
            <w:vAlign w:val="center"/>
            <w:hideMark/>
          </w:tcPr>
          <w:p w:rsidR="009458C0" w:rsidRPr="00520178" w:rsidRDefault="009458C0" w:rsidP="00933401">
            <w:pPr>
              <w:spacing w:after="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Faiz Giderleri</w:t>
            </w:r>
          </w:p>
        </w:tc>
        <w:tc>
          <w:tcPr>
            <w:tcW w:w="1134" w:type="dxa"/>
            <w:tcBorders>
              <w:top w:val="single" w:sz="4" w:space="0" w:color="auto"/>
              <w:left w:val="nil"/>
              <w:bottom w:val="single" w:sz="8" w:space="0" w:color="auto"/>
              <w:right w:val="single" w:sz="8" w:space="0" w:color="auto"/>
            </w:tcBorders>
          </w:tcPr>
          <w:p w:rsidR="009458C0" w:rsidRPr="00520178" w:rsidRDefault="009458C0" w:rsidP="009458C0">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138.940</w:t>
            </w:r>
          </w:p>
        </w:tc>
        <w:tc>
          <w:tcPr>
            <w:tcW w:w="1100" w:type="dxa"/>
            <w:tcBorders>
              <w:top w:val="single" w:sz="4" w:space="0" w:color="auto"/>
              <w:left w:val="nil"/>
              <w:bottom w:val="single" w:sz="8" w:space="0" w:color="auto"/>
              <w:right w:val="single" w:sz="8" w:space="0" w:color="auto"/>
            </w:tcBorders>
          </w:tcPr>
          <w:p w:rsidR="009458C0" w:rsidRPr="00520178" w:rsidRDefault="009458C0" w:rsidP="009458C0">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159.500</w:t>
            </w:r>
          </w:p>
        </w:tc>
        <w:tc>
          <w:tcPr>
            <w:tcW w:w="1133" w:type="dxa"/>
            <w:tcBorders>
              <w:top w:val="single" w:sz="4" w:space="0" w:color="auto"/>
              <w:left w:val="nil"/>
              <w:bottom w:val="single" w:sz="8" w:space="0" w:color="auto"/>
              <w:right w:val="single" w:sz="8" w:space="0" w:color="auto"/>
            </w:tcBorders>
          </w:tcPr>
          <w:p w:rsidR="009458C0" w:rsidRPr="00520178" w:rsidRDefault="009458C0" w:rsidP="009458C0">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176.400</w:t>
            </w:r>
          </w:p>
        </w:tc>
      </w:tr>
    </w:tbl>
    <w:p w:rsidR="002D5A7B" w:rsidRPr="00520178" w:rsidRDefault="002D5A7B" w:rsidP="00471DD8">
      <w:pPr>
        <w:spacing w:before="240"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Yukarıda yer alan merkezi yönetim bütçe giderlerinin GSYH’ye oranları ise Tablo 5’te gösterilmiştir.</w:t>
      </w:r>
    </w:p>
    <w:p w:rsidR="002D5A7B" w:rsidRPr="00520178" w:rsidRDefault="002D5A7B" w:rsidP="00933401">
      <w:pPr>
        <w:spacing w:after="120"/>
        <w:ind w:firstLine="567"/>
        <w:jc w:val="both"/>
        <w:outlineLvl w:val="0"/>
        <w:rPr>
          <w:rFonts w:ascii="Times New Roman" w:eastAsia="Times New Roman" w:hAnsi="Times New Roman" w:cs="Times New Roman"/>
          <w:sz w:val="24"/>
          <w:szCs w:val="24"/>
          <w:lang w:eastAsia="tr-TR"/>
        </w:rPr>
      </w:pPr>
      <w:r w:rsidRPr="00520178">
        <w:rPr>
          <w:rFonts w:ascii="Times New Roman" w:eastAsia="Times New Roman" w:hAnsi="Times New Roman" w:cs="Times New Roman"/>
          <w:b/>
          <w:sz w:val="24"/>
          <w:szCs w:val="24"/>
          <w:lang w:eastAsia="tr-TR"/>
        </w:rPr>
        <w:t>Tablo 5- Merkezi Yönetim Bütçe Giderlerinin GSYH’ye Oranı (%)</w:t>
      </w:r>
    </w:p>
    <w:tbl>
      <w:tblPr>
        <w:tblW w:w="8648" w:type="dxa"/>
        <w:jc w:val="center"/>
        <w:tblCellMar>
          <w:left w:w="70" w:type="dxa"/>
          <w:right w:w="70" w:type="dxa"/>
        </w:tblCellMar>
        <w:tblLook w:val="00A0" w:firstRow="1" w:lastRow="0" w:firstColumn="1" w:lastColumn="0" w:noHBand="0" w:noVBand="0"/>
      </w:tblPr>
      <w:tblGrid>
        <w:gridCol w:w="5458"/>
        <w:gridCol w:w="993"/>
        <w:gridCol w:w="1063"/>
        <w:gridCol w:w="1134"/>
      </w:tblGrid>
      <w:tr w:rsidR="00932F51" w:rsidRPr="00520178" w:rsidTr="009A1CC4">
        <w:trPr>
          <w:trHeight w:val="20"/>
          <w:jc w:val="center"/>
        </w:trPr>
        <w:tc>
          <w:tcPr>
            <w:tcW w:w="5458" w:type="dxa"/>
            <w:tcBorders>
              <w:top w:val="single" w:sz="8" w:space="0" w:color="auto"/>
              <w:left w:val="single" w:sz="8" w:space="0" w:color="auto"/>
              <w:bottom w:val="single" w:sz="8" w:space="0" w:color="auto"/>
              <w:right w:val="single" w:sz="8" w:space="0" w:color="auto"/>
            </w:tcBorders>
            <w:vAlign w:val="center"/>
          </w:tcPr>
          <w:p w:rsidR="002D5A7B" w:rsidRPr="00520178" w:rsidRDefault="002D5A7B" w:rsidP="00933401">
            <w:pPr>
              <w:spacing w:after="0"/>
              <w:jc w:val="center"/>
              <w:rPr>
                <w:rFonts w:ascii="Times New Roman" w:eastAsia="Times New Roman" w:hAnsi="Times New Roman" w:cs="Times New Roman"/>
                <w:b/>
                <w:bCs/>
                <w:sz w:val="24"/>
                <w:szCs w:val="24"/>
                <w:lang w:eastAsia="tr-TR"/>
              </w:rPr>
            </w:pPr>
          </w:p>
        </w:tc>
        <w:tc>
          <w:tcPr>
            <w:tcW w:w="993" w:type="dxa"/>
            <w:tcBorders>
              <w:top w:val="single" w:sz="8" w:space="0" w:color="auto"/>
              <w:left w:val="nil"/>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20</w:t>
            </w:r>
          </w:p>
        </w:tc>
        <w:tc>
          <w:tcPr>
            <w:tcW w:w="1063" w:type="dxa"/>
            <w:tcBorders>
              <w:top w:val="single" w:sz="8" w:space="0" w:color="auto"/>
              <w:left w:val="nil"/>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21</w:t>
            </w:r>
          </w:p>
        </w:tc>
        <w:tc>
          <w:tcPr>
            <w:tcW w:w="1134" w:type="dxa"/>
            <w:tcBorders>
              <w:top w:val="single" w:sz="8" w:space="0" w:color="auto"/>
              <w:left w:val="nil"/>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22</w:t>
            </w:r>
          </w:p>
        </w:tc>
      </w:tr>
      <w:tr w:rsidR="00F41DC6" w:rsidRPr="00520178" w:rsidTr="009A1CC4">
        <w:trPr>
          <w:trHeight w:val="20"/>
          <w:jc w:val="center"/>
        </w:trPr>
        <w:tc>
          <w:tcPr>
            <w:tcW w:w="5458" w:type="dxa"/>
            <w:tcBorders>
              <w:top w:val="nil"/>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Merkezi Yönetim Bütçe Giderleri</w:t>
            </w:r>
          </w:p>
        </w:tc>
        <w:tc>
          <w:tcPr>
            <w:tcW w:w="99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22,5</w:t>
            </w:r>
          </w:p>
        </w:tc>
        <w:tc>
          <w:tcPr>
            <w:tcW w:w="106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21,8</w:t>
            </w:r>
          </w:p>
        </w:tc>
        <w:tc>
          <w:tcPr>
            <w:tcW w:w="1134"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21,3</w:t>
            </w:r>
          </w:p>
        </w:tc>
      </w:tr>
      <w:tr w:rsidR="00F41DC6" w:rsidRPr="00520178" w:rsidTr="009A1CC4">
        <w:trPr>
          <w:trHeight w:val="20"/>
          <w:jc w:val="center"/>
        </w:trPr>
        <w:tc>
          <w:tcPr>
            <w:tcW w:w="5458" w:type="dxa"/>
            <w:tcBorders>
              <w:top w:val="nil"/>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Faiz Dışı Giderler</w:t>
            </w:r>
          </w:p>
        </w:tc>
        <w:tc>
          <w:tcPr>
            <w:tcW w:w="99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19,6</w:t>
            </w:r>
          </w:p>
        </w:tc>
        <w:tc>
          <w:tcPr>
            <w:tcW w:w="106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18,9</w:t>
            </w:r>
          </w:p>
        </w:tc>
        <w:tc>
          <w:tcPr>
            <w:tcW w:w="1134"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18,4</w:t>
            </w:r>
          </w:p>
        </w:tc>
      </w:tr>
      <w:tr w:rsidR="00F41DC6" w:rsidRPr="00520178" w:rsidTr="009A1CC4">
        <w:trPr>
          <w:trHeight w:val="20"/>
          <w:jc w:val="center"/>
        </w:trPr>
        <w:tc>
          <w:tcPr>
            <w:tcW w:w="5458" w:type="dxa"/>
            <w:tcBorders>
              <w:top w:val="nil"/>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Personel Giderleri</w:t>
            </w:r>
          </w:p>
        </w:tc>
        <w:tc>
          <w:tcPr>
            <w:tcW w:w="993" w:type="dxa"/>
            <w:tcBorders>
              <w:top w:val="nil"/>
              <w:left w:val="nil"/>
              <w:bottom w:val="single" w:sz="8" w:space="0" w:color="auto"/>
              <w:right w:val="single" w:sz="8" w:space="0" w:color="auto"/>
            </w:tcBorders>
          </w:tcPr>
          <w:p w:rsidR="00F41DC6" w:rsidRPr="00520178" w:rsidRDefault="008838FE"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5,8</w:t>
            </w:r>
          </w:p>
        </w:tc>
        <w:tc>
          <w:tcPr>
            <w:tcW w:w="106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5,6</w:t>
            </w:r>
          </w:p>
        </w:tc>
        <w:tc>
          <w:tcPr>
            <w:tcW w:w="1134" w:type="dxa"/>
            <w:tcBorders>
              <w:top w:val="nil"/>
              <w:left w:val="nil"/>
              <w:bottom w:val="single" w:sz="8" w:space="0" w:color="auto"/>
              <w:right w:val="single" w:sz="8" w:space="0" w:color="auto"/>
            </w:tcBorders>
          </w:tcPr>
          <w:p w:rsidR="00F41DC6" w:rsidRPr="00520178" w:rsidRDefault="008838FE"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5,4</w:t>
            </w:r>
          </w:p>
        </w:tc>
      </w:tr>
      <w:tr w:rsidR="00F41DC6" w:rsidRPr="00520178" w:rsidTr="009A1CC4">
        <w:trPr>
          <w:trHeight w:val="20"/>
          <w:jc w:val="center"/>
        </w:trPr>
        <w:tc>
          <w:tcPr>
            <w:tcW w:w="5458" w:type="dxa"/>
            <w:tcBorders>
              <w:top w:val="nil"/>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Sosyal Güvenlik Kurumlarına Devlet Primi Giderleri</w:t>
            </w:r>
          </w:p>
        </w:tc>
        <w:tc>
          <w:tcPr>
            <w:tcW w:w="99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1,0</w:t>
            </w:r>
          </w:p>
        </w:tc>
        <w:tc>
          <w:tcPr>
            <w:tcW w:w="106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0,9</w:t>
            </w:r>
          </w:p>
        </w:tc>
        <w:tc>
          <w:tcPr>
            <w:tcW w:w="1134"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0,9</w:t>
            </w:r>
          </w:p>
        </w:tc>
      </w:tr>
      <w:tr w:rsidR="00F41DC6" w:rsidRPr="00520178" w:rsidTr="009A1CC4">
        <w:trPr>
          <w:trHeight w:val="20"/>
          <w:jc w:val="center"/>
        </w:trPr>
        <w:tc>
          <w:tcPr>
            <w:tcW w:w="5458" w:type="dxa"/>
            <w:tcBorders>
              <w:top w:val="nil"/>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Mal ve Hizmet Alım Giderleri</w:t>
            </w:r>
          </w:p>
        </w:tc>
        <w:tc>
          <w:tcPr>
            <w:tcW w:w="993" w:type="dxa"/>
            <w:tcBorders>
              <w:top w:val="nil"/>
              <w:left w:val="nil"/>
              <w:bottom w:val="single" w:sz="8" w:space="0" w:color="auto"/>
              <w:right w:val="single" w:sz="8" w:space="0" w:color="auto"/>
            </w:tcBorders>
          </w:tcPr>
          <w:p w:rsidR="00F41DC6" w:rsidRPr="00520178" w:rsidRDefault="00D94AE3"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1,6</w:t>
            </w:r>
          </w:p>
        </w:tc>
        <w:tc>
          <w:tcPr>
            <w:tcW w:w="106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1,5</w:t>
            </w:r>
          </w:p>
        </w:tc>
        <w:tc>
          <w:tcPr>
            <w:tcW w:w="1134"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1,5</w:t>
            </w:r>
          </w:p>
        </w:tc>
      </w:tr>
      <w:tr w:rsidR="00F41DC6" w:rsidRPr="00520178" w:rsidTr="009A1CC4">
        <w:trPr>
          <w:trHeight w:val="20"/>
          <w:jc w:val="center"/>
        </w:trPr>
        <w:tc>
          <w:tcPr>
            <w:tcW w:w="5458" w:type="dxa"/>
            <w:tcBorders>
              <w:top w:val="nil"/>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Cari Transferler</w:t>
            </w:r>
          </w:p>
        </w:tc>
        <w:tc>
          <w:tcPr>
            <w:tcW w:w="99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9,3</w:t>
            </w:r>
          </w:p>
        </w:tc>
        <w:tc>
          <w:tcPr>
            <w:tcW w:w="106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9,0</w:t>
            </w:r>
          </w:p>
        </w:tc>
        <w:tc>
          <w:tcPr>
            <w:tcW w:w="1134"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8,8</w:t>
            </w:r>
          </w:p>
        </w:tc>
      </w:tr>
      <w:tr w:rsidR="00F41DC6" w:rsidRPr="00520178" w:rsidTr="009A1CC4">
        <w:trPr>
          <w:trHeight w:val="20"/>
          <w:jc w:val="center"/>
        </w:trPr>
        <w:tc>
          <w:tcPr>
            <w:tcW w:w="5458" w:type="dxa"/>
            <w:tcBorders>
              <w:top w:val="nil"/>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Sermaye Giderleri</w:t>
            </w:r>
          </w:p>
        </w:tc>
        <w:tc>
          <w:tcPr>
            <w:tcW w:w="99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1,2</w:t>
            </w:r>
          </w:p>
        </w:tc>
        <w:tc>
          <w:tcPr>
            <w:tcW w:w="106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1,1</w:t>
            </w:r>
          </w:p>
        </w:tc>
        <w:tc>
          <w:tcPr>
            <w:tcW w:w="1134"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1,1</w:t>
            </w:r>
          </w:p>
        </w:tc>
      </w:tr>
      <w:tr w:rsidR="00F41DC6" w:rsidRPr="00520178" w:rsidTr="009A1CC4">
        <w:trPr>
          <w:trHeight w:val="20"/>
          <w:jc w:val="center"/>
        </w:trPr>
        <w:tc>
          <w:tcPr>
            <w:tcW w:w="5458" w:type="dxa"/>
            <w:tcBorders>
              <w:top w:val="nil"/>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Sermaye Transferleri</w:t>
            </w:r>
          </w:p>
        </w:tc>
        <w:tc>
          <w:tcPr>
            <w:tcW w:w="99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0,1</w:t>
            </w:r>
          </w:p>
        </w:tc>
        <w:tc>
          <w:tcPr>
            <w:tcW w:w="1063"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0,1</w:t>
            </w:r>
          </w:p>
        </w:tc>
        <w:tc>
          <w:tcPr>
            <w:tcW w:w="1134" w:type="dxa"/>
            <w:tcBorders>
              <w:top w:val="nil"/>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0,1</w:t>
            </w:r>
          </w:p>
        </w:tc>
      </w:tr>
      <w:tr w:rsidR="00F41DC6" w:rsidRPr="00520178" w:rsidTr="009A1CC4">
        <w:trPr>
          <w:trHeight w:val="20"/>
          <w:jc w:val="center"/>
        </w:trPr>
        <w:tc>
          <w:tcPr>
            <w:tcW w:w="5458" w:type="dxa"/>
            <w:tcBorders>
              <w:top w:val="nil"/>
              <w:left w:val="single" w:sz="8" w:space="0" w:color="auto"/>
              <w:bottom w:val="single" w:sz="4"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Borç Verme</w:t>
            </w:r>
          </w:p>
        </w:tc>
        <w:tc>
          <w:tcPr>
            <w:tcW w:w="993" w:type="dxa"/>
            <w:tcBorders>
              <w:top w:val="nil"/>
              <w:left w:val="nil"/>
              <w:bottom w:val="single" w:sz="4"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0,6</w:t>
            </w:r>
          </w:p>
        </w:tc>
        <w:tc>
          <w:tcPr>
            <w:tcW w:w="1063" w:type="dxa"/>
            <w:tcBorders>
              <w:top w:val="nil"/>
              <w:left w:val="nil"/>
              <w:bottom w:val="single" w:sz="4"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0,5</w:t>
            </w:r>
          </w:p>
        </w:tc>
        <w:tc>
          <w:tcPr>
            <w:tcW w:w="1134" w:type="dxa"/>
            <w:tcBorders>
              <w:top w:val="nil"/>
              <w:left w:val="nil"/>
              <w:bottom w:val="single" w:sz="4"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0,5</w:t>
            </w:r>
          </w:p>
        </w:tc>
      </w:tr>
      <w:tr w:rsidR="00F41DC6" w:rsidRPr="00520178" w:rsidTr="009A1CC4">
        <w:trPr>
          <w:trHeight w:val="20"/>
          <w:jc w:val="center"/>
        </w:trPr>
        <w:tc>
          <w:tcPr>
            <w:tcW w:w="5458" w:type="dxa"/>
            <w:tcBorders>
              <w:top w:val="nil"/>
              <w:left w:val="single" w:sz="8" w:space="0" w:color="auto"/>
              <w:bottom w:val="single" w:sz="4"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Yedek Ödenek</w:t>
            </w:r>
          </w:p>
        </w:tc>
        <w:tc>
          <w:tcPr>
            <w:tcW w:w="993" w:type="dxa"/>
            <w:tcBorders>
              <w:top w:val="nil"/>
              <w:left w:val="nil"/>
              <w:bottom w:val="single" w:sz="4" w:space="0" w:color="auto"/>
              <w:right w:val="single" w:sz="8" w:space="0" w:color="auto"/>
            </w:tcBorders>
          </w:tcPr>
          <w:p w:rsidR="00F41DC6" w:rsidRPr="00520178" w:rsidRDefault="008838FE"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0,2</w:t>
            </w:r>
          </w:p>
        </w:tc>
        <w:tc>
          <w:tcPr>
            <w:tcW w:w="1063" w:type="dxa"/>
            <w:tcBorders>
              <w:top w:val="nil"/>
              <w:left w:val="nil"/>
              <w:bottom w:val="single" w:sz="4" w:space="0" w:color="auto"/>
              <w:right w:val="single" w:sz="8" w:space="0" w:color="auto"/>
            </w:tcBorders>
          </w:tcPr>
          <w:p w:rsidR="00F41DC6" w:rsidRPr="00520178" w:rsidRDefault="008838FE"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0,2</w:t>
            </w:r>
          </w:p>
        </w:tc>
        <w:tc>
          <w:tcPr>
            <w:tcW w:w="1134" w:type="dxa"/>
            <w:tcBorders>
              <w:top w:val="nil"/>
              <w:left w:val="nil"/>
              <w:bottom w:val="single" w:sz="4" w:space="0" w:color="auto"/>
              <w:right w:val="single" w:sz="8" w:space="0" w:color="auto"/>
            </w:tcBorders>
          </w:tcPr>
          <w:p w:rsidR="00F41DC6" w:rsidRPr="00520178" w:rsidRDefault="008838FE" w:rsidP="00F41DC6">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0,2</w:t>
            </w:r>
          </w:p>
        </w:tc>
      </w:tr>
      <w:tr w:rsidR="00F41DC6" w:rsidRPr="00520178" w:rsidTr="009A1CC4">
        <w:trPr>
          <w:trHeight w:val="20"/>
          <w:jc w:val="center"/>
        </w:trPr>
        <w:tc>
          <w:tcPr>
            <w:tcW w:w="5458" w:type="dxa"/>
            <w:tcBorders>
              <w:top w:val="single" w:sz="4" w:space="0" w:color="auto"/>
              <w:left w:val="single" w:sz="8" w:space="0" w:color="auto"/>
              <w:bottom w:val="single" w:sz="8" w:space="0" w:color="auto"/>
              <w:right w:val="single" w:sz="8" w:space="0" w:color="auto"/>
            </w:tcBorders>
            <w:vAlign w:val="center"/>
            <w:hideMark/>
          </w:tcPr>
          <w:p w:rsidR="00F41DC6" w:rsidRPr="00520178" w:rsidRDefault="00F41DC6" w:rsidP="00933401">
            <w:pPr>
              <w:spacing w:after="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Faiz Giderleri</w:t>
            </w:r>
          </w:p>
        </w:tc>
        <w:tc>
          <w:tcPr>
            <w:tcW w:w="993" w:type="dxa"/>
            <w:tcBorders>
              <w:top w:val="single" w:sz="4" w:space="0" w:color="auto"/>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2,9</w:t>
            </w:r>
          </w:p>
        </w:tc>
        <w:tc>
          <w:tcPr>
            <w:tcW w:w="1063" w:type="dxa"/>
            <w:tcBorders>
              <w:top w:val="single" w:sz="4" w:space="0" w:color="auto"/>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2,9</w:t>
            </w:r>
          </w:p>
        </w:tc>
        <w:tc>
          <w:tcPr>
            <w:tcW w:w="1134" w:type="dxa"/>
            <w:tcBorders>
              <w:top w:val="single" w:sz="4" w:space="0" w:color="auto"/>
              <w:left w:val="nil"/>
              <w:bottom w:val="single" w:sz="8" w:space="0" w:color="auto"/>
              <w:right w:val="single" w:sz="8" w:space="0" w:color="auto"/>
            </w:tcBorders>
          </w:tcPr>
          <w:p w:rsidR="00F41DC6" w:rsidRPr="00520178" w:rsidRDefault="00F41DC6" w:rsidP="00F41DC6">
            <w:pPr>
              <w:spacing w:after="0"/>
              <w:jc w:val="right"/>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2,9</w:t>
            </w:r>
          </w:p>
        </w:tc>
      </w:tr>
    </w:tbl>
    <w:p w:rsidR="002D5A7B" w:rsidRPr="00520178" w:rsidRDefault="002D5A7B" w:rsidP="0078597E">
      <w:pPr>
        <w:spacing w:before="240"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döneminde, merkezi yönetim bütçe giderlerinin GSYH’ye oranının </w:t>
      </w:r>
      <w:r w:rsidR="00F23FE3"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00F23FE3" w:rsidRPr="00520178">
        <w:rPr>
          <w:rFonts w:ascii="Times New Roman" w:eastAsia="Times New Roman" w:hAnsi="Times New Roman" w:cs="Times New Roman"/>
          <w:sz w:val="24"/>
          <w:szCs w:val="24"/>
          <w:lang w:eastAsia="tr-TR"/>
        </w:rPr>
        <w:t xml:space="preserve"> </w:t>
      </w:r>
      <w:r w:rsidR="0078597E" w:rsidRPr="00520178">
        <w:rPr>
          <w:rFonts w:ascii="Times New Roman" w:eastAsia="Times New Roman" w:hAnsi="Times New Roman" w:cs="Times New Roman"/>
          <w:sz w:val="24"/>
          <w:szCs w:val="24"/>
          <w:lang w:eastAsia="tr-TR"/>
        </w:rPr>
        <w:t xml:space="preserve">yılında yüzde </w:t>
      </w:r>
      <w:r w:rsidR="00F41DC6" w:rsidRPr="00520178">
        <w:rPr>
          <w:rFonts w:ascii="Times New Roman" w:eastAsia="Times New Roman" w:hAnsi="Times New Roman" w:cs="Times New Roman"/>
          <w:sz w:val="24"/>
          <w:szCs w:val="24"/>
          <w:lang w:eastAsia="tr-TR"/>
        </w:rPr>
        <w:t>22,5,</w:t>
      </w:r>
      <w:r w:rsidR="0078597E" w:rsidRPr="00520178">
        <w:rPr>
          <w:rFonts w:ascii="Times New Roman" w:eastAsia="Times New Roman" w:hAnsi="Times New Roman" w:cs="Times New Roman"/>
          <w:sz w:val="24"/>
          <w:szCs w:val="24"/>
          <w:lang w:eastAsia="tr-TR"/>
        </w:rPr>
        <w:t xml:space="preserve"> </w:t>
      </w:r>
      <w:r w:rsidR="00F23FE3" w:rsidRPr="00520178">
        <w:rPr>
          <w:rFonts w:ascii="Times New Roman" w:eastAsia="Times New Roman" w:hAnsi="Times New Roman" w:cs="Times New Roman"/>
          <w:sz w:val="24"/>
          <w:szCs w:val="24"/>
          <w:lang w:eastAsia="tr-TR"/>
        </w:rPr>
        <w:t>202</w:t>
      </w:r>
      <w:r w:rsidR="0078597E" w:rsidRPr="00520178">
        <w:rPr>
          <w:rFonts w:ascii="Times New Roman" w:eastAsia="Times New Roman" w:hAnsi="Times New Roman" w:cs="Times New Roman"/>
          <w:sz w:val="24"/>
          <w:szCs w:val="24"/>
          <w:lang w:eastAsia="tr-TR"/>
        </w:rPr>
        <w:t xml:space="preserve">1 yılında </w:t>
      </w:r>
      <w:r w:rsidRPr="00520178">
        <w:rPr>
          <w:rFonts w:ascii="Times New Roman" w:eastAsia="Times New Roman" w:hAnsi="Times New Roman" w:cs="Times New Roman"/>
          <w:sz w:val="24"/>
          <w:szCs w:val="24"/>
          <w:lang w:eastAsia="tr-TR"/>
        </w:rPr>
        <w:t>yüzde</w:t>
      </w:r>
      <w:r w:rsidR="00B60AEE" w:rsidRPr="00520178">
        <w:rPr>
          <w:rFonts w:ascii="Times New Roman" w:eastAsia="Times New Roman" w:hAnsi="Times New Roman" w:cs="Times New Roman"/>
          <w:sz w:val="24"/>
          <w:szCs w:val="24"/>
          <w:lang w:eastAsia="tr-TR"/>
        </w:rPr>
        <w:t xml:space="preserve"> </w:t>
      </w:r>
      <w:r w:rsidR="00F41DC6" w:rsidRPr="00520178">
        <w:rPr>
          <w:rFonts w:ascii="Times New Roman" w:eastAsia="Times New Roman" w:hAnsi="Times New Roman" w:cs="Times New Roman"/>
          <w:sz w:val="24"/>
          <w:szCs w:val="24"/>
          <w:lang w:eastAsia="tr-TR"/>
        </w:rPr>
        <w:t xml:space="preserve">21,8 ve </w:t>
      </w:r>
      <w:r w:rsidR="00F23FE3" w:rsidRPr="00520178">
        <w:rPr>
          <w:rFonts w:ascii="Times New Roman" w:eastAsia="Times New Roman" w:hAnsi="Times New Roman" w:cs="Times New Roman"/>
          <w:sz w:val="24"/>
          <w:szCs w:val="24"/>
          <w:lang w:eastAsia="tr-TR"/>
        </w:rPr>
        <w:t>202</w:t>
      </w:r>
      <w:r w:rsidR="0078597E" w:rsidRPr="00520178">
        <w:rPr>
          <w:rFonts w:ascii="Times New Roman" w:eastAsia="Times New Roman" w:hAnsi="Times New Roman" w:cs="Times New Roman"/>
          <w:sz w:val="24"/>
          <w:szCs w:val="24"/>
          <w:lang w:eastAsia="tr-TR"/>
        </w:rPr>
        <w:t>2</w:t>
      </w:r>
      <w:r w:rsidR="00F23FE3" w:rsidRPr="00520178">
        <w:rPr>
          <w:rFonts w:ascii="Times New Roman" w:eastAsia="Times New Roman" w:hAnsi="Times New Roman" w:cs="Times New Roman"/>
          <w:sz w:val="24"/>
          <w:szCs w:val="24"/>
          <w:lang w:eastAsia="tr-TR"/>
        </w:rPr>
        <w:t xml:space="preserve"> yılında ise </w:t>
      </w:r>
      <w:r w:rsidRPr="00520178">
        <w:rPr>
          <w:rFonts w:ascii="Times New Roman" w:eastAsia="Times New Roman" w:hAnsi="Times New Roman" w:cs="Times New Roman"/>
          <w:sz w:val="24"/>
          <w:szCs w:val="24"/>
          <w:lang w:eastAsia="tr-TR"/>
        </w:rPr>
        <w:t xml:space="preserve">yüzde </w:t>
      </w:r>
      <w:r w:rsidR="00F41DC6" w:rsidRPr="00520178">
        <w:rPr>
          <w:rFonts w:ascii="Times New Roman" w:eastAsia="Times New Roman" w:hAnsi="Times New Roman" w:cs="Times New Roman"/>
          <w:sz w:val="24"/>
          <w:szCs w:val="24"/>
          <w:lang w:eastAsia="tr-TR"/>
        </w:rPr>
        <w:t>21,3</w:t>
      </w:r>
      <w:r w:rsidR="00990E5C"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olarak gerçekleşmesi öngörülmüştür.</w:t>
      </w:r>
    </w:p>
    <w:p w:rsidR="002D5A7B" w:rsidRPr="00520178" w:rsidRDefault="002D5A7B" w:rsidP="009F0E28">
      <w:pPr>
        <w:pStyle w:val="ListeParagraf"/>
        <w:numPr>
          <w:ilvl w:val="1"/>
          <w:numId w:val="33"/>
        </w:numPr>
        <w:tabs>
          <w:tab w:val="left" w:pos="993"/>
        </w:tabs>
        <w:spacing w:after="120"/>
        <w:ind w:left="567" w:firstLine="0"/>
        <w:jc w:val="both"/>
        <w:rPr>
          <w:rFonts w:ascii="Times New Roman" w:eastAsia="Times New Roman" w:hAnsi="Times New Roman" w:cs="Times New Roman"/>
          <w:b/>
          <w:sz w:val="24"/>
          <w:szCs w:val="24"/>
          <w:lang w:eastAsia="tr-TR"/>
        </w:rPr>
      </w:pPr>
      <w:bookmarkStart w:id="3" w:name="_GoBack"/>
      <w:bookmarkEnd w:id="3"/>
      <w:r w:rsidRPr="00520178">
        <w:rPr>
          <w:rFonts w:ascii="Times New Roman" w:eastAsia="Times New Roman" w:hAnsi="Times New Roman" w:cs="Times New Roman"/>
          <w:b/>
          <w:sz w:val="24"/>
          <w:szCs w:val="24"/>
          <w:lang w:eastAsia="tr-TR"/>
        </w:rPr>
        <w:lastRenderedPageBreak/>
        <w:t>Merkezi Yönetim Bütçe Gelirleri</w:t>
      </w:r>
    </w:p>
    <w:p w:rsidR="002D5A7B"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Merkezi yönetim bütçe gelirleri, Orta Vadeli Programda yer alan makroekonomik göstergeler ile gelir politikalarının bütçe gelirlerine etkileri, ulusal ve uluslararası piyasalardaki gelişmeler ve gelirlerin geçmiş yıllarda gösterdiği eğilim dikkate alınarak belirlenmiştir. </w:t>
      </w:r>
    </w:p>
    <w:p w:rsidR="002D5A7B" w:rsidRPr="00520178" w:rsidRDefault="002D5A7B" w:rsidP="00933401">
      <w:pPr>
        <w:spacing w:after="120"/>
        <w:ind w:firstLine="567"/>
        <w:jc w:val="both"/>
        <w:outlineLvl w:val="0"/>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 xml:space="preserve">Tablo 6- Merkezi Yönetim Bütçe Gelirleri </w:t>
      </w:r>
    </w:p>
    <w:tbl>
      <w:tblPr>
        <w:tblW w:w="8956" w:type="dxa"/>
        <w:jc w:val="center"/>
        <w:tblCellMar>
          <w:left w:w="70" w:type="dxa"/>
          <w:right w:w="70" w:type="dxa"/>
        </w:tblCellMar>
        <w:tblLook w:val="00A0" w:firstRow="1" w:lastRow="0" w:firstColumn="1" w:lastColumn="0" w:noHBand="0" w:noVBand="0"/>
      </w:tblPr>
      <w:tblGrid>
        <w:gridCol w:w="5833"/>
        <w:gridCol w:w="1007"/>
        <w:gridCol w:w="1100"/>
        <w:gridCol w:w="1100"/>
      </w:tblGrid>
      <w:tr w:rsidR="006573CC" w:rsidRPr="00520178" w:rsidTr="004847FA">
        <w:trPr>
          <w:trHeight w:val="20"/>
          <w:jc w:val="center"/>
        </w:trPr>
        <w:tc>
          <w:tcPr>
            <w:tcW w:w="5833" w:type="dxa"/>
            <w:tcBorders>
              <w:top w:val="single" w:sz="8" w:space="0" w:color="auto"/>
              <w:left w:val="single" w:sz="8" w:space="0" w:color="auto"/>
              <w:bottom w:val="single" w:sz="8" w:space="0" w:color="auto"/>
              <w:right w:val="single" w:sz="8" w:space="0" w:color="auto"/>
            </w:tcBorders>
            <w:noWrap/>
            <w:vAlign w:val="center"/>
            <w:hideMark/>
          </w:tcPr>
          <w:p w:rsidR="002D5A7B" w:rsidRPr="00520178" w:rsidRDefault="002D5A7B" w:rsidP="00933401">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sz w:val="24"/>
                <w:szCs w:val="24"/>
                <w:lang w:eastAsia="tr-TR"/>
              </w:rPr>
              <w:t>(Milyon TL)</w:t>
            </w:r>
          </w:p>
        </w:tc>
        <w:tc>
          <w:tcPr>
            <w:tcW w:w="1007" w:type="dxa"/>
            <w:tcBorders>
              <w:top w:val="single" w:sz="8" w:space="0" w:color="auto"/>
              <w:left w:val="nil"/>
              <w:bottom w:val="single" w:sz="8" w:space="0" w:color="auto"/>
              <w:right w:val="single" w:sz="8" w:space="0" w:color="auto"/>
            </w:tcBorders>
            <w:noWrap/>
            <w:vAlign w:val="center"/>
            <w:hideMark/>
          </w:tcPr>
          <w:p w:rsidR="002D5A7B" w:rsidRPr="00520178" w:rsidRDefault="0078597E"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2020</w:t>
            </w:r>
          </w:p>
        </w:tc>
        <w:tc>
          <w:tcPr>
            <w:tcW w:w="1080" w:type="dxa"/>
            <w:tcBorders>
              <w:top w:val="single" w:sz="8" w:space="0" w:color="auto"/>
              <w:left w:val="nil"/>
              <w:bottom w:val="single" w:sz="8" w:space="0" w:color="auto"/>
              <w:right w:val="single" w:sz="8" w:space="0" w:color="auto"/>
            </w:tcBorders>
            <w:noWrap/>
            <w:vAlign w:val="center"/>
            <w:hideMark/>
          </w:tcPr>
          <w:p w:rsidR="002D5A7B" w:rsidRPr="00520178" w:rsidRDefault="003B6147"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78597E" w:rsidRPr="00520178">
              <w:rPr>
                <w:rFonts w:ascii="Times New Roman" w:eastAsia="Times New Roman" w:hAnsi="Times New Roman" w:cs="Times New Roman"/>
                <w:b/>
                <w:bCs/>
                <w:sz w:val="24"/>
                <w:szCs w:val="24"/>
                <w:lang w:eastAsia="tr-TR"/>
              </w:rPr>
              <w:t>21</w:t>
            </w:r>
          </w:p>
        </w:tc>
        <w:tc>
          <w:tcPr>
            <w:tcW w:w="1036" w:type="dxa"/>
            <w:tcBorders>
              <w:top w:val="single" w:sz="8" w:space="0" w:color="auto"/>
              <w:left w:val="nil"/>
              <w:bottom w:val="single" w:sz="8" w:space="0" w:color="auto"/>
              <w:right w:val="single" w:sz="8" w:space="0" w:color="auto"/>
            </w:tcBorders>
            <w:vAlign w:val="center"/>
            <w:hideMark/>
          </w:tcPr>
          <w:p w:rsidR="002D5A7B" w:rsidRPr="00520178" w:rsidRDefault="002D5A7B" w:rsidP="0078597E">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w:t>
            </w:r>
            <w:r w:rsidR="00343066" w:rsidRPr="00520178">
              <w:rPr>
                <w:rFonts w:ascii="Times New Roman" w:eastAsia="Times New Roman" w:hAnsi="Times New Roman" w:cs="Times New Roman"/>
                <w:b/>
                <w:bCs/>
                <w:sz w:val="24"/>
                <w:szCs w:val="24"/>
                <w:lang w:eastAsia="tr-TR"/>
              </w:rPr>
              <w:t>2</w:t>
            </w:r>
            <w:r w:rsidR="0078597E" w:rsidRPr="00520178">
              <w:rPr>
                <w:rFonts w:ascii="Times New Roman" w:eastAsia="Times New Roman" w:hAnsi="Times New Roman" w:cs="Times New Roman"/>
                <w:b/>
                <w:bCs/>
                <w:sz w:val="24"/>
                <w:szCs w:val="24"/>
                <w:lang w:eastAsia="tr-TR"/>
              </w:rPr>
              <w:t>2</w:t>
            </w:r>
          </w:p>
        </w:tc>
      </w:tr>
      <w:tr w:rsidR="006573CC" w:rsidRPr="00520178" w:rsidTr="00AC5EE2">
        <w:trPr>
          <w:trHeight w:val="20"/>
          <w:jc w:val="center"/>
        </w:trPr>
        <w:tc>
          <w:tcPr>
            <w:tcW w:w="5833" w:type="dxa"/>
            <w:tcBorders>
              <w:top w:val="nil"/>
              <w:left w:val="single" w:sz="8" w:space="0" w:color="auto"/>
              <w:bottom w:val="single" w:sz="8" w:space="0" w:color="auto"/>
              <w:right w:val="single" w:sz="8" w:space="0" w:color="auto"/>
            </w:tcBorders>
            <w:noWrap/>
            <w:vAlign w:val="bottom"/>
            <w:hideMark/>
          </w:tcPr>
          <w:p w:rsidR="00062AA8" w:rsidRPr="00520178" w:rsidRDefault="00062AA8" w:rsidP="00933401">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Merkezi Yönetim Bütçe Gelirleri (Net) </w:t>
            </w:r>
          </w:p>
        </w:tc>
        <w:tc>
          <w:tcPr>
            <w:tcW w:w="1007" w:type="dxa"/>
            <w:tcBorders>
              <w:top w:val="nil"/>
              <w:left w:val="nil"/>
              <w:bottom w:val="single" w:sz="8" w:space="0" w:color="auto"/>
              <w:right w:val="single" w:sz="8" w:space="0" w:color="auto"/>
            </w:tcBorders>
            <w:noWrap/>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956.588</w:t>
            </w:r>
          </w:p>
        </w:tc>
        <w:tc>
          <w:tcPr>
            <w:tcW w:w="1080" w:type="dxa"/>
            <w:tcBorders>
              <w:top w:val="nil"/>
              <w:left w:val="nil"/>
              <w:bottom w:val="single" w:sz="8" w:space="0" w:color="auto"/>
              <w:right w:val="single" w:sz="8" w:space="0" w:color="auto"/>
            </w:tcBorders>
            <w:noWrap/>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1.039.3</w:t>
            </w:r>
            <w:r w:rsidR="007702BE" w:rsidRPr="00520178">
              <w:rPr>
                <w:rFonts w:ascii="Times New Roman" w:eastAsia="Times New Roman" w:hAnsi="Times New Roman" w:cs="Times New Roman"/>
                <w:sz w:val="24"/>
                <w:szCs w:val="24"/>
                <w:lang w:eastAsia="tr-TR"/>
              </w:rPr>
              <w:t>21</w:t>
            </w:r>
          </w:p>
        </w:tc>
        <w:tc>
          <w:tcPr>
            <w:tcW w:w="1036" w:type="dxa"/>
            <w:tcBorders>
              <w:top w:val="nil"/>
              <w:left w:val="nil"/>
              <w:bottom w:val="single" w:sz="8" w:space="0" w:color="auto"/>
              <w:right w:val="single" w:sz="8" w:space="0" w:color="auto"/>
            </w:tcBorders>
          </w:tcPr>
          <w:p w:rsidR="00062AA8" w:rsidRPr="00520178" w:rsidRDefault="00062AA8" w:rsidP="007702BE">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1.135.27</w:t>
            </w:r>
            <w:r w:rsidR="007702BE" w:rsidRPr="00520178">
              <w:rPr>
                <w:rFonts w:ascii="Times New Roman" w:eastAsia="Times New Roman" w:hAnsi="Times New Roman" w:cs="Times New Roman"/>
                <w:sz w:val="24"/>
                <w:szCs w:val="24"/>
                <w:lang w:eastAsia="tr-TR"/>
              </w:rPr>
              <w:t>8</w:t>
            </w:r>
          </w:p>
        </w:tc>
      </w:tr>
      <w:tr w:rsidR="006573CC" w:rsidRPr="00520178" w:rsidTr="007800FF">
        <w:trPr>
          <w:trHeight w:val="20"/>
          <w:jc w:val="center"/>
        </w:trPr>
        <w:tc>
          <w:tcPr>
            <w:tcW w:w="5833" w:type="dxa"/>
            <w:tcBorders>
              <w:top w:val="nil"/>
              <w:left w:val="single" w:sz="8" w:space="0" w:color="auto"/>
              <w:bottom w:val="single" w:sz="8" w:space="0" w:color="auto"/>
              <w:right w:val="single" w:sz="8" w:space="0" w:color="auto"/>
            </w:tcBorders>
            <w:noWrap/>
            <w:vAlign w:val="bottom"/>
            <w:hideMark/>
          </w:tcPr>
          <w:p w:rsidR="00062AA8" w:rsidRPr="00520178" w:rsidRDefault="0030426A" w:rsidP="007702BE">
            <w:pPr>
              <w:spacing w:after="0"/>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Merkezi Yönetim </w:t>
            </w:r>
            <w:r w:rsidR="00783639" w:rsidRPr="00520178">
              <w:rPr>
                <w:rFonts w:ascii="Times New Roman" w:eastAsia="Times New Roman" w:hAnsi="Times New Roman" w:cs="Times New Roman"/>
                <w:sz w:val="24"/>
                <w:szCs w:val="24"/>
                <w:lang w:eastAsia="tr-TR"/>
              </w:rPr>
              <w:t xml:space="preserve">Bütçesi </w:t>
            </w:r>
            <w:r w:rsidR="00062AA8" w:rsidRPr="00520178">
              <w:rPr>
                <w:rFonts w:ascii="Times New Roman" w:eastAsia="Times New Roman" w:hAnsi="Times New Roman" w:cs="Times New Roman"/>
                <w:sz w:val="24"/>
                <w:szCs w:val="24"/>
                <w:lang w:eastAsia="tr-TR"/>
              </w:rPr>
              <w:t xml:space="preserve">Vergi Gelirleri (Net) </w:t>
            </w:r>
          </w:p>
        </w:tc>
        <w:tc>
          <w:tcPr>
            <w:tcW w:w="1007" w:type="dxa"/>
            <w:tcBorders>
              <w:top w:val="nil"/>
              <w:left w:val="nil"/>
              <w:bottom w:val="single" w:sz="8" w:space="0" w:color="auto"/>
              <w:right w:val="single" w:sz="8" w:space="0" w:color="auto"/>
            </w:tcBorders>
            <w:noWrap/>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784.602</w:t>
            </w:r>
          </w:p>
        </w:tc>
        <w:tc>
          <w:tcPr>
            <w:tcW w:w="1080" w:type="dxa"/>
            <w:tcBorders>
              <w:top w:val="nil"/>
              <w:left w:val="nil"/>
              <w:bottom w:val="single" w:sz="8" w:space="0" w:color="auto"/>
              <w:right w:val="single" w:sz="8" w:space="0" w:color="auto"/>
            </w:tcBorders>
            <w:noWrap/>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874.528</w:t>
            </w:r>
          </w:p>
        </w:tc>
        <w:tc>
          <w:tcPr>
            <w:tcW w:w="1036" w:type="dxa"/>
            <w:tcBorders>
              <w:top w:val="nil"/>
              <w:left w:val="nil"/>
              <w:bottom w:val="single" w:sz="8" w:space="0" w:color="auto"/>
              <w:right w:val="single" w:sz="8" w:space="0" w:color="auto"/>
            </w:tcBorders>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963.147</w:t>
            </w:r>
          </w:p>
        </w:tc>
      </w:tr>
    </w:tbl>
    <w:p w:rsidR="002D5A7B" w:rsidRPr="00520178" w:rsidRDefault="002D5A7B" w:rsidP="009E19F8">
      <w:pPr>
        <w:spacing w:before="240" w:after="120"/>
        <w:ind w:firstLine="567"/>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Tablo 7- Merkezi Yönetim Bütçe Gelirlerinin GSYH’ye Oranı (%)</w:t>
      </w:r>
    </w:p>
    <w:tbl>
      <w:tblPr>
        <w:tblW w:w="8914" w:type="dxa"/>
        <w:jc w:val="center"/>
        <w:tblCellMar>
          <w:left w:w="70" w:type="dxa"/>
          <w:right w:w="70" w:type="dxa"/>
        </w:tblCellMar>
        <w:tblLook w:val="00A0" w:firstRow="1" w:lastRow="0" w:firstColumn="1" w:lastColumn="0" w:noHBand="0" w:noVBand="0"/>
      </w:tblPr>
      <w:tblGrid>
        <w:gridCol w:w="5796"/>
        <w:gridCol w:w="1071"/>
        <w:gridCol w:w="1055"/>
        <w:gridCol w:w="992"/>
      </w:tblGrid>
      <w:tr w:rsidR="006573CC" w:rsidRPr="00520178" w:rsidTr="004847FA">
        <w:trPr>
          <w:trHeight w:val="20"/>
          <w:jc w:val="center"/>
        </w:trPr>
        <w:tc>
          <w:tcPr>
            <w:tcW w:w="5796" w:type="dxa"/>
            <w:tcBorders>
              <w:top w:val="single" w:sz="8" w:space="0" w:color="auto"/>
              <w:left w:val="single" w:sz="8" w:space="0" w:color="auto"/>
              <w:bottom w:val="single" w:sz="8" w:space="0" w:color="auto"/>
              <w:right w:val="single" w:sz="8" w:space="0" w:color="auto"/>
            </w:tcBorders>
            <w:noWrap/>
            <w:vAlign w:val="bottom"/>
          </w:tcPr>
          <w:p w:rsidR="0078597E" w:rsidRPr="00520178" w:rsidRDefault="0078597E" w:rsidP="00933401">
            <w:pPr>
              <w:spacing w:after="0"/>
              <w:jc w:val="center"/>
              <w:rPr>
                <w:rFonts w:ascii="Times New Roman" w:eastAsia="Times New Roman" w:hAnsi="Times New Roman" w:cs="Times New Roman"/>
                <w:b/>
                <w:bCs/>
                <w:sz w:val="24"/>
                <w:szCs w:val="24"/>
                <w:lang w:eastAsia="tr-TR"/>
              </w:rPr>
            </w:pPr>
            <w:bookmarkStart w:id="4" w:name="_Hlk274314085"/>
          </w:p>
        </w:tc>
        <w:tc>
          <w:tcPr>
            <w:tcW w:w="1071" w:type="dxa"/>
            <w:tcBorders>
              <w:top w:val="single" w:sz="8" w:space="0" w:color="auto"/>
              <w:left w:val="nil"/>
              <w:bottom w:val="single" w:sz="8" w:space="0" w:color="auto"/>
              <w:right w:val="single" w:sz="8" w:space="0" w:color="auto"/>
            </w:tcBorders>
            <w:noWrap/>
            <w:vAlign w:val="center"/>
            <w:hideMark/>
          </w:tcPr>
          <w:p w:rsidR="0078597E" w:rsidRPr="00520178" w:rsidRDefault="0078597E" w:rsidP="00F41DC6">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2020</w:t>
            </w:r>
          </w:p>
        </w:tc>
        <w:tc>
          <w:tcPr>
            <w:tcW w:w="1055" w:type="dxa"/>
            <w:tcBorders>
              <w:top w:val="single" w:sz="8" w:space="0" w:color="auto"/>
              <w:left w:val="nil"/>
              <w:bottom w:val="single" w:sz="8" w:space="0" w:color="auto"/>
              <w:right w:val="single" w:sz="8" w:space="0" w:color="auto"/>
            </w:tcBorders>
            <w:noWrap/>
            <w:vAlign w:val="center"/>
            <w:hideMark/>
          </w:tcPr>
          <w:p w:rsidR="0078597E" w:rsidRPr="00520178" w:rsidRDefault="0078597E" w:rsidP="00F41DC6">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2021</w:t>
            </w:r>
          </w:p>
        </w:tc>
        <w:tc>
          <w:tcPr>
            <w:tcW w:w="992" w:type="dxa"/>
            <w:tcBorders>
              <w:top w:val="single" w:sz="8" w:space="0" w:color="auto"/>
              <w:left w:val="nil"/>
              <w:bottom w:val="single" w:sz="8" w:space="0" w:color="auto"/>
              <w:right w:val="single" w:sz="8" w:space="0" w:color="auto"/>
            </w:tcBorders>
            <w:vAlign w:val="center"/>
            <w:hideMark/>
          </w:tcPr>
          <w:p w:rsidR="0078597E" w:rsidRPr="00520178" w:rsidRDefault="0078597E" w:rsidP="00F41DC6">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2022</w:t>
            </w:r>
          </w:p>
        </w:tc>
      </w:tr>
      <w:bookmarkEnd w:id="4"/>
      <w:tr w:rsidR="006573CC" w:rsidRPr="00520178" w:rsidTr="000B3838">
        <w:trPr>
          <w:trHeight w:val="20"/>
          <w:jc w:val="center"/>
        </w:trPr>
        <w:tc>
          <w:tcPr>
            <w:tcW w:w="5796" w:type="dxa"/>
            <w:tcBorders>
              <w:top w:val="nil"/>
              <w:left w:val="single" w:sz="8" w:space="0" w:color="auto"/>
              <w:bottom w:val="single" w:sz="8" w:space="0" w:color="auto"/>
              <w:right w:val="single" w:sz="8" w:space="0" w:color="auto"/>
            </w:tcBorders>
            <w:noWrap/>
            <w:vAlign w:val="bottom"/>
            <w:hideMark/>
          </w:tcPr>
          <w:p w:rsidR="00062AA8" w:rsidRPr="00520178" w:rsidRDefault="00062AA8" w:rsidP="00933401">
            <w:pPr>
              <w:spacing w:after="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Merkezi Yönetim Bütçe Gelirleri (Net)/GSYH </w:t>
            </w:r>
          </w:p>
        </w:tc>
        <w:tc>
          <w:tcPr>
            <w:tcW w:w="1071" w:type="dxa"/>
            <w:tcBorders>
              <w:top w:val="nil"/>
              <w:left w:val="nil"/>
              <w:bottom w:val="single" w:sz="8" w:space="0" w:color="auto"/>
              <w:right w:val="single" w:sz="8" w:space="0" w:color="auto"/>
            </w:tcBorders>
            <w:noWrap/>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19,6</w:t>
            </w:r>
          </w:p>
        </w:tc>
        <w:tc>
          <w:tcPr>
            <w:tcW w:w="1055" w:type="dxa"/>
            <w:tcBorders>
              <w:top w:val="nil"/>
              <w:left w:val="nil"/>
              <w:bottom w:val="single" w:sz="8" w:space="0" w:color="auto"/>
              <w:right w:val="single" w:sz="8" w:space="0" w:color="auto"/>
            </w:tcBorders>
            <w:noWrap/>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19,0</w:t>
            </w:r>
          </w:p>
        </w:tc>
        <w:tc>
          <w:tcPr>
            <w:tcW w:w="992" w:type="dxa"/>
            <w:tcBorders>
              <w:top w:val="nil"/>
              <w:left w:val="nil"/>
              <w:bottom w:val="single" w:sz="8" w:space="0" w:color="auto"/>
              <w:right w:val="single" w:sz="8" w:space="0" w:color="auto"/>
            </w:tcBorders>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18,7</w:t>
            </w:r>
          </w:p>
        </w:tc>
      </w:tr>
      <w:tr w:rsidR="006573CC" w:rsidRPr="00520178" w:rsidTr="00A331B2">
        <w:trPr>
          <w:trHeight w:val="20"/>
          <w:jc w:val="center"/>
        </w:trPr>
        <w:tc>
          <w:tcPr>
            <w:tcW w:w="5796" w:type="dxa"/>
            <w:tcBorders>
              <w:top w:val="nil"/>
              <w:left w:val="single" w:sz="8" w:space="0" w:color="auto"/>
              <w:bottom w:val="single" w:sz="8" w:space="0" w:color="auto"/>
              <w:right w:val="single" w:sz="8" w:space="0" w:color="auto"/>
            </w:tcBorders>
            <w:noWrap/>
            <w:vAlign w:val="bottom"/>
            <w:hideMark/>
          </w:tcPr>
          <w:p w:rsidR="00062AA8" w:rsidRPr="00520178" w:rsidRDefault="0030426A" w:rsidP="007702BE">
            <w:pPr>
              <w:spacing w:after="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Merkezi Yönetim </w:t>
            </w:r>
            <w:r w:rsidR="00783639" w:rsidRPr="00520178">
              <w:rPr>
                <w:rFonts w:ascii="Times New Roman" w:eastAsia="Times New Roman" w:hAnsi="Times New Roman" w:cs="Times New Roman"/>
                <w:sz w:val="24"/>
                <w:szCs w:val="24"/>
                <w:lang w:eastAsia="tr-TR"/>
              </w:rPr>
              <w:t xml:space="preserve">Bütçesi </w:t>
            </w:r>
            <w:r w:rsidR="00062AA8" w:rsidRPr="00520178">
              <w:rPr>
                <w:rFonts w:ascii="Times New Roman" w:eastAsia="Times New Roman" w:hAnsi="Times New Roman" w:cs="Times New Roman"/>
                <w:sz w:val="24"/>
                <w:szCs w:val="24"/>
                <w:lang w:eastAsia="tr-TR"/>
              </w:rPr>
              <w:t xml:space="preserve">Vergi Gelirleri (Net)/GSYH </w:t>
            </w:r>
          </w:p>
        </w:tc>
        <w:tc>
          <w:tcPr>
            <w:tcW w:w="1071" w:type="dxa"/>
            <w:tcBorders>
              <w:top w:val="nil"/>
              <w:left w:val="nil"/>
              <w:bottom w:val="single" w:sz="8" w:space="0" w:color="auto"/>
              <w:right w:val="single" w:sz="8" w:space="0" w:color="auto"/>
            </w:tcBorders>
            <w:noWrap/>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16,1</w:t>
            </w:r>
          </w:p>
        </w:tc>
        <w:tc>
          <w:tcPr>
            <w:tcW w:w="1055" w:type="dxa"/>
            <w:tcBorders>
              <w:top w:val="nil"/>
              <w:left w:val="nil"/>
              <w:bottom w:val="single" w:sz="8" w:space="0" w:color="auto"/>
              <w:right w:val="single" w:sz="8" w:space="0" w:color="auto"/>
            </w:tcBorders>
            <w:noWrap/>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15,9</w:t>
            </w:r>
          </w:p>
        </w:tc>
        <w:tc>
          <w:tcPr>
            <w:tcW w:w="992" w:type="dxa"/>
            <w:tcBorders>
              <w:top w:val="nil"/>
              <w:left w:val="nil"/>
              <w:bottom w:val="single" w:sz="8" w:space="0" w:color="auto"/>
              <w:right w:val="single" w:sz="8" w:space="0" w:color="auto"/>
            </w:tcBorders>
          </w:tcPr>
          <w:p w:rsidR="00062AA8" w:rsidRPr="00520178" w:rsidRDefault="00062AA8" w:rsidP="00062AA8">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15,9</w:t>
            </w:r>
          </w:p>
        </w:tc>
      </w:tr>
    </w:tbl>
    <w:p w:rsidR="00836A00" w:rsidRPr="00520178" w:rsidRDefault="002D5A7B" w:rsidP="009C094F">
      <w:pPr>
        <w:spacing w:before="240" w:after="24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407FE9"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Mali Plan dönemi sonunda merkezi yönetim bütçe gelirlerinin GSYH’ye oranının yüzde </w:t>
      </w:r>
      <w:r w:rsidR="00062AA8" w:rsidRPr="00520178">
        <w:rPr>
          <w:rFonts w:ascii="Times New Roman" w:eastAsia="Times New Roman" w:hAnsi="Times New Roman" w:cs="Times New Roman"/>
          <w:sz w:val="24"/>
          <w:szCs w:val="24"/>
          <w:lang w:eastAsia="tr-TR"/>
        </w:rPr>
        <w:t>18,7,</w:t>
      </w:r>
      <w:r w:rsidR="00654A46" w:rsidRPr="00520178">
        <w:rPr>
          <w:rFonts w:ascii="Times New Roman" w:eastAsia="Times New Roman" w:hAnsi="Times New Roman" w:cs="Times New Roman"/>
          <w:sz w:val="24"/>
          <w:szCs w:val="24"/>
          <w:lang w:eastAsia="tr-TR"/>
        </w:rPr>
        <w:t xml:space="preserve"> </w:t>
      </w:r>
      <w:r w:rsidR="0030426A" w:rsidRPr="00520178">
        <w:rPr>
          <w:rFonts w:ascii="Times New Roman" w:eastAsia="Times New Roman" w:hAnsi="Times New Roman" w:cs="Times New Roman"/>
          <w:sz w:val="24"/>
          <w:szCs w:val="24"/>
          <w:lang w:eastAsia="tr-TR"/>
        </w:rPr>
        <w:t xml:space="preserve">merkezi yönetim </w:t>
      </w:r>
      <w:r w:rsidR="0018325A" w:rsidRPr="00520178">
        <w:rPr>
          <w:rFonts w:ascii="Times New Roman" w:eastAsia="Times New Roman" w:hAnsi="Times New Roman" w:cs="Times New Roman"/>
          <w:sz w:val="24"/>
          <w:szCs w:val="24"/>
          <w:lang w:eastAsia="tr-TR"/>
        </w:rPr>
        <w:t xml:space="preserve">bütçesi </w:t>
      </w:r>
      <w:r w:rsidRPr="00520178">
        <w:rPr>
          <w:rFonts w:ascii="Times New Roman" w:eastAsia="Times New Roman" w:hAnsi="Times New Roman" w:cs="Times New Roman"/>
          <w:sz w:val="24"/>
          <w:szCs w:val="24"/>
          <w:lang w:eastAsia="tr-TR"/>
        </w:rPr>
        <w:t xml:space="preserve">vergi gelirlerinin GSYH’ye oranının ise yüzde </w:t>
      </w:r>
      <w:r w:rsidR="00062AA8" w:rsidRPr="00520178">
        <w:rPr>
          <w:rFonts w:ascii="Times New Roman" w:eastAsia="Times New Roman" w:hAnsi="Times New Roman" w:cs="Times New Roman"/>
          <w:sz w:val="24"/>
          <w:szCs w:val="24"/>
          <w:lang w:eastAsia="tr-TR"/>
        </w:rPr>
        <w:t xml:space="preserve">15,9 </w:t>
      </w:r>
      <w:r w:rsidR="007C3329" w:rsidRPr="00520178">
        <w:rPr>
          <w:rFonts w:ascii="Times New Roman" w:eastAsia="Times New Roman" w:hAnsi="Times New Roman" w:cs="Times New Roman"/>
          <w:sz w:val="24"/>
          <w:szCs w:val="24"/>
          <w:lang w:eastAsia="tr-TR"/>
        </w:rPr>
        <w:t>olarak gerçekleşmesi</w:t>
      </w:r>
      <w:r w:rsidRPr="00520178">
        <w:rPr>
          <w:rFonts w:ascii="Times New Roman" w:eastAsia="Times New Roman" w:hAnsi="Times New Roman" w:cs="Times New Roman"/>
          <w:sz w:val="24"/>
          <w:szCs w:val="24"/>
          <w:lang w:eastAsia="tr-TR"/>
        </w:rPr>
        <w:t xml:space="preserve"> beklenmektedir.</w:t>
      </w:r>
    </w:p>
    <w:p w:rsidR="002D5A7B" w:rsidRPr="00520178" w:rsidRDefault="002D5A7B" w:rsidP="009F0E28">
      <w:pPr>
        <w:pStyle w:val="ListeParagraf"/>
        <w:numPr>
          <w:ilvl w:val="0"/>
          <w:numId w:val="33"/>
        </w:numPr>
        <w:tabs>
          <w:tab w:val="left" w:pos="851"/>
        </w:tabs>
        <w:spacing w:after="120"/>
        <w:ind w:left="567" w:firstLine="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MERKEZİ YÖNETİM BÜTÇE AÇIĞININ FİNANSMANI</w:t>
      </w:r>
    </w:p>
    <w:p w:rsidR="007C3B14" w:rsidRPr="00520178" w:rsidRDefault="00832FC6" w:rsidP="00520178">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b/>
      </w:r>
      <w:r w:rsidR="007C3B14" w:rsidRPr="00520178">
        <w:rPr>
          <w:rFonts w:ascii="Times New Roman" w:eastAsia="Times New Roman" w:hAnsi="Times New Roman" w:cs="Times New Roman"/>
          <w:sz w:val="24"/>
          <w:szCs w:val="24"/>
          <w:lang w:eastAsia="tr-TR"/>
        </w:rPr>
        <w:t xml:space="preserve">Borç Yönetiminin temel ilkeleri, 9/3/2019 tarihli ve 30709 sayılı Resmî </w:t>
      </w:r>
      <w:proofErr w:type="spellStart"/>
      <w:r w:rsidR="007C3B14" w:rsidRPr="00520178">
        <w:rPr>
          <w:rFonts w:ascii="Times New Roman" w:eastAsia="Times New Roman" w:hAnsi="Times New Roman" w:cs="Times New Roman"/>
          <w:sz w:val="24"/>
          <w:szCs w:val="24"/>
          <w:lang w:eastAsia="tr-TR"/>
        </w:rPr>
        <w:t>Gazete’de</w:t>
      </w:r>
      <w:proofErr w:type="spellEnd"/>
      <w:r w:rsidR="007C3B14" w:rsidRPr="00520178">
        <w:rPr>
          <w:rFonts w:ascii="Times New Roman" w:eastAsia="Times New Roman" w:hAnsi="Times New Roman" w:cs="Times New Roman"/>
          <w:sz w:val="24"/>
          <w:szCs w:val="24"/>
          <w:lang w:eastAsia="tr-TR"/>
        </w:rPr>
        <w:t xml:space="preserve"> yayımlanan Borç ve Risk Yönetiminin Koordinasyonu ve Yürütülmesine İlişkin Esas ve Usuller Hakkında Yönetmelik </w:t>
      </w:r>
      <w:proofErr w:type="gramStart"/>
      <w:r w:rsidR="007C3B14" w:rsidRPr="00520178">
        <w:rPr>
          <w:rFonts w:ascii="Times New Roman" w:eastAsia="Times New Roman" w:hAnsi="Times New Roman" w:cs="Times New Roman"/>
          <w:sz w:val="24"/>
          <w:szCs w:val="24"/>
          <w:lang w:eastAsia="tr-TR"/>
        </w:rPr>
        <w:t>ile;</w:t>
      </w:r>
      <w:proofErr w:type="gramEnd"/>
      <w:r w:rsidR="007C3B14" w:rsidRPr="00520178">
        <w:rPr>
          <w:rFonts w:ascii="Times New Roman" w:eastAsia="Times New Roman" w:hAnsi="Times New Roman" w:cs="Times New Roman"/>
          <w:sz w:val="24"/>
          <w:szCs w:val="24"/>
          <w:lang w:eastAsia="tr-TR"/>
        </w:rPr>
        <w:t xml:space="preserve"> </w:t>
      </w:r>
    </w:p>
    <w:p w:rsidR="007C3B14" w:rsidRPr="00520178" w:rsidRDefault="007C3B14" w:rsidP="007C3B14">
      <w:pPr>
        <w:numPr>
          <w:ilvl w:val="0"/>
          <w:numId w:val="34"/>
        </w:numPr>
        <w:tabs>
          <w:tab w:val="left" w:pos="993"/>
        </w:tabs>
        <w:spacing w:after="120"/>
        <w:ind w:left="0" w:firstLine="709"/>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Makroekonomik dengeleri gözeterek para ve maliye politikaları ile uyumlu, sürdürülebilir, saydam ve hesap verilebilir bir borçlanma politikası izlenmesi, </w:t>
      </w:r>
    </w:p>
    <w:p w:rsidR="007C3B14" w:rsidRPr="00520178" w:rsidRDefault="007C3B14" w:rsidP="007C3B14">
      <w:pPr>
        <w:numPr>
          <w:ilvl w:val="0"/>
          <w:numId w:val="34"/>
        </w:numPr>
        <w:tabs>
          <w:tab w:val="left" w:pos="993"/>
        </w:tabs>
        <w:spacing w:after="120"/>
        <w:ind w:left="0" w:firstLine="709"/>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Finansman ihtiyaçlarının, iç ve dış piyasa koşulları ve maliyet unsurları göz önüne alınarak belirlenen risk düzeyi çerçevesinde, orta ve uzun vadede mümkün olan en uygun maliyetle karşılanması olarak belirlenmiştir. </w:t>
      </w:r>
    </w:p>
    <w:p w:rsidR="007C3B14" w:rsidRPr="00520178" w:rsidRDefault="007C3B14" w:rsidP="007C3B14">
      <w:pPr>
        <w:tabs>
          <w:tab w:val="left" w:pos="709"/>
        </w:tabs>
        <w:spacing w:after="120"/>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b/>
        <w:t xml:space="preserve">Söz konusu ilkeler çerçevesinde, merkezi yönetim bütçe açığının finansmanına yönelik olarak stratejik ölçütlere dayalı borçlanma politikaları yürütülmektedir. 2020-2022 döneminde de döviz kuru, faiz ve likidite riskleri olarak ifade edilebilecek piyasa risklerinin, stratejik ölçütler vasıtasıyla orta ve uzun vadede kontrol altında tutulması hedeflenmektedir. </w:t>
      </w:r>
    </w:p>
    <w:p w:rsidR="002D5A7B" w:rsidRPr="00520178" w:rsidRDefault="007C3B14" w:rsidP="007C3B14">
      <w:pPr>
        <w:tabs>
          <w:tab w:val="left" w:pos="567"/>
        </w:tabs>
        <w:spacing w:after="120"/>
        <w:jc w:val="both"/>
        <w:rPr>
          <w:rFonts w:ascii="Times New Roman" w:hAnsi="Times New Roman" w:cs="Times New Roman"/>
          <w:sz w:val="24"/>
          <w:szCs w:val="24"/>
        </w:rPr>
      </w:pPr>
      <w:r w:rsidRPr="00520178">
        <w:rPr>
          <w:rFonts w:ascii="Times New Roman" w:eastAsia="Times New Roman" w:hAnsi="Times New Roman" w:cs="Times New Roman"/>
          <w:sz w:val="24"/>
          <w:szCs w:val="24"/>
          <w:lang w:eastAsia="tr-TR"/>
        </w:rPr>
        <w:tab/>
        <w:t>Belirlenecek stratejik ölçütlerle uyumlu olarak hazırlanacak finansman programı çerçevesinde, iç borçlanma stratejileri, ihale duyuruları gibi borçlanma işlemlerine ilişkin bilgiler düzenli olarak kamuoyuna açıklanmaya devam edilecektir. Ayrıca, ikincil piyasada sağlıklı bir verim eğrisinin oluşması ve likiditenin sağlanmasına yönelik olarak senetlerin azalan vadelerde yeniden ihraç edilmesi politikasının sürdürülmesi planlanmaktadır</w:t>
      </w:r>
      <w:r w:rsidR="002D5A7B" w:rsidRPr="00520178">
        <w:rPr>
          <w:rFonts w:ascii="Times New Roman" w:eastAsia="Times New Roman" w:hAnsi="Times New Roman" w:cs="Times New Roman"/>
          <w:sz w:val="24"/>
          <w:szCs w:val="24"/>
          <w:lang w:eastAsia="tr-TR"/>
        </w:rPr>
        <w:t xml:space="preserve">. </w:t>
      </w:r>
    </w:p>
    <w:p w:rsidR="00520178" w:rsidRPr="00520178" w:rsidRDefault="00520178" w:rsidP="00933401">
      <w:pPr>
        <w:spacing w:after="120"/>
        <w:ind w:firstLine="567"/>
        <w:jc w:val="both"/>
        <w:rPr>
          <w:rFonts w:ascii="Times New Roman" w:eastAsia="Times New Roman" w:hAnsi="Times New Roman" w:cs="Times New Roman"/>
          <w:sz w:val="24"/>
          <w:szCs w:val="24"/>
          <w:lang w:eastAsia="tr-TR"/>
        </w:rPr>
      </w:pPr>
    </w:p>
    <w:p w:rsidR="00520178" w:rsidRPr="00520178" w:rsidRDefault="00520178" w:rsidP="00933401">
      <w:pPr>
        <w:spacing w:after="120"/>
        <w:ind w:firstLine="567"/>
        <w:jc w:val="both"/>
        <w:rPr>
          <w:rFonts w:ascii="Times New Roman" w:eastAsia="Times New Roman" w:hAnsi="Times New Roman" w:cs="Times New Roman"/>
          <w:sz w:val="24"/>
          <w:szCs w:val="24"/>
          <w:lang w:eastAsia="tr-TR"/>
        </w:rPr>
      </w:pPr>
    </w:p>
    <w:p w:rsidR="002D5A7B" w:rsidRPr="00520178" w:rsidRDefault="007B7CBC"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lastRenderedPageBreak/>
        <w:t>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CD77AF"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dönemine ilişkin </w:t>
      </w:r>
      <w:r w:rsidR="002D5A7B" w:rsidRPr="00520178">
        <w:rPr>
          <w:rFonts w:ascii="Times New Roman" w:eastAsia="Times New Roman" w:hAnsi="Times New Roman" w:cs="Times New Roman"/>
          <w:sz w:val="24"/>
          <w:szCs w:val="24"/>
          <w:lang w:eastAsia="tr-TR"/>
        </w:rPr>
        <w:t xml:space="preserve">AB tanımlı genel yönetim borç stokunun GSYH’ye oranının seyri </w:t>
      </w:r>
      <w:r w:rsidR="00B22ED5" w:rsidRPr="00520178">
        <w:rPr>
          <w:rFonts w:ascii="Times New Roman" w:eastAsia="Times New Roman" w:hAnsi="Times New Roman" w:cs="Times New Roman"/>
          <w:sz w:val="24"/>
          <w:szCs w:val="24"/>
          <w:lang w:eastAsia="tr-TR"/>
        </w:rPr>
        <w:t>aşağıdaki tabloda sunulmaktadır.</w:t>
      </w:r>
    </w:p>
    <w:p w:rsidR="002D5A7B"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b/>
          <w:sz w:val="24"/>
          <w:szCs w:val="24"/>
          <w:lang w:eastAsia="tr-TR"/>
        </w:rPr>
        <w:t>Tablo 8-AB Tanımlı Genel Yönetim Borç Stokunun GSYH’ye</w:t>
      </w:r>
      <w:r w:rsidR="000E4296" w:rsidRPr="00520178">
        <w:rPr>
          <w:rFonts w:ascii="Times New Roman" w:eastAsia="Times New Roman" w:hAnsi="Times New Roman" w:cs="Times New Roman"/>
          <w:b/>
          <w:sz w:val="24"/>
          <w:szCs w:val="24"/>
          <w:lang w:eastAsia="tr-TR"/>
        </w:rPr>
        <w:t xml:space="preserve"> </w:t>
      </w:r>
      <w:r w:rsidRPr="00520178">
        <w:rPr>
          <w:rFonts w:ascii="Times New Roman" w:eastAsia="Times New Roman" w:hAnsi="Times New Roman" w:cs="Times New Roman"/>
          <w:b/>
          <w:sz w:val="24"/>
          <w:szCs w:val="24"/>
          <w:lang w:eastAsia="tr-TR"/>
        </w:rPr>
        <w:t>Oranı (%)</w:t>
      </w:r>
      <w:r w:rsidR="00D274F6" w:rsidRPr="00520178">
        <w:rPr>
          <w:rFonts w:ascii="Times New Roman" w:eastAsia="Times New Roman" w:hAnsi="Times New Roman" w:cs="Times New Roman"/>
          <w:b/>
          <w:sz w:val="24"/>
          <w:szCs w:val="24"/>
          <w:lang w:eastAsia="tr-TR"/>
        </w:rPr>
        <w:t xml:space="preserve"> </w:t>
      </w:r>
    </w:p>
    <w:tbl>
      <w:tblPr>
        <w:tblW w:w="88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408"/>
        <w:gridCol w:w="1134"/>
        <w:gridCol w:w="1084"/>
        <w:gridCol w:w="1204"/>
      </w:tblGrid>
      <w:tr w:rsidR="0078597E" w:rsidRPr="00520178" w:rsidTr="00393EE7">
        <w:trPr>
          <w:trHeight w:val="20"/>
          <w:jc w:val="center"/>
        </w:trPr>
        <w:tc>
          <w:tcPr>
            <w:tcW w:w="5408" w:type="dxa"/>
            <w:tcBorders>
              <w:top w:val="single" w:sz="8" w:space="0" w:color="auto"/>
              <w:left w:val="single" w:sz="8" w:space="0" w:color="auto"/>
              <w:bottom w:val="single" w:sz="8" w:space="0" w:color="auto"/>
              <w:right w:val="single" w:sz="8" w:space="0" w:color="auto"/>
            </w:tcBorders>
            <w:noWrap/>
            <w:vAlign w:val="bottom"/>
          </w:tcPr>
          <w:p w:rsidR="0078597E" w:rsidRPr="00520178" w:rsidRDefault="0078597E" w:rsidP="00933401">
            <w:pPr>
              <w:spacing w:after="0"/>
              <w:jc w:val="center"/>
              <w:rPr>
                <w:rFonts w:ascii="Times New Roman" w:eastAsia="Batang" w:hAnsi="Times New Roman" w:cs="Times New Roman"/>
                <w:b/>
                <w:bCs/>
                <w:sz w:val="24"/>
                <w:szCs w:val="24"/>
                <w:lang w:eastAsia="ko-KR"/>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78597E" w:rsidRPr="00520178" w:rsidRDefault="0078597E" w:rsidP="00F41DC6">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2020</w:t>
            </w:r>
          </w:p>
        </w:tc>
        <w:tc>
          <w:tcPr>
            <w:tcW w:w="1084" w:type="dxa"/>
            <w:tcBorders>
              <w:top w:val="single" w:sz="8" w:space="0" w:color="auto"/>
              <w:left w:val="single" w:sz="8" w:space="0" w:color="auto"/>
              <w:bottom w:val="single" w:sz="8" w:space="0" w:color="auto"/>
              <w:right w:val="single" w:sz="8" w:space="0" w:color="auto"/>
            </w:tcBorders>
            <w:noWrap/>
            <w:vAlign w:val="center"/>
            <w:hideMark/>
          </w:tcPr>
          <w:p w:rsidR="0078597E" w:rsidRPr="00520178" w:rsidRDefault="0078597E" w:rsidP="00F41DC6">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2021</w:t>
            </w:r>
          </w:p>
        </w:tc>
        <w:tc>
          <w:tcPr>
            <w:tcW w:w="1204" w:type="dxa"/>
            <w:tcBorders>
              <w:top w:val="single" w:sz="8" w:space="0" w:color="auto"/>
              <w:left w:val="single" w:sz="8" w:space="0" w:color="auto"/>
              <w:bottom w:val="single" w:sz="8" w:space="0" w:color="auto"/>
              <w:right w:val="single" w:sz="8" w:space="0" w:color="auto"/>
            </w:tcBorders>
            <w:noWrap/>
            <w:vAlign w:val="center"/>
            <w:hideMark/>
          </w:tcPr>
          <w:p w:rsidR="0078597E" w:rsidRPr="00520178" w:rsidRDefault="0078597E" w:rsidP="00F41DC6">
            <w:pPr>
              <w:spacing w:after="0"/>
              <w:jc w:val="center"/>
              <w:rPr>
                <w:rFonts w:ascii="Times New Roman" w:eastAsia="Times New Roman" w:hAnsi="Times New Roman" w:cs="Times New Roman"/>
                <w:b/>
                <w:bCs/>
                <w:sz w:val="24"/>
                <w:szCs w:val="24"/>
                <w:lang w:eastAsia="tr-TR"/>
              </w:rPr>
            </w:pPr>
            <w:r w:rsidRPr="00520178">
              <w:rPr>
                <w:rFonts w:ascii="Times New Roman" w:eastAsia="Times New Roman" w:hAnsi="Times New Roman" w:cs="Times New Roman"/>
                <w:b/>
                <w:bCs/>
                <w:sz w:val="24"/>
                <w:szCs w:val="24"/>
                <w:lang w:eastAsia="tr-TR"/>
              </w:rPr>
              <w:t>2022</w:t>
            </w:r>
          </w:p>
        </w:tc>
      </w:tr>
      <w:tr w:rsidR="00CF6B4E" w:rsidRPr="00520178" w:rsidTr="00393EE7">
        <w:trPr>
          <w:trHeight w:val="20"/>
          <w:jc w:val="center"/>
        </w:trPr>
        <w:tc>
          <w:tcPr>
            <w:tcW w:w="5408" w:type="dxa"/>
            <w:tcBorders>
              <w:top w:val="single" w:sz="8" w:space="0" w:color="auto"/>
              <w:left w:val="single" w:sz="8" w:space="0" w:color="auto"/>
              <w:bottom w:val="single" w:sz="8" w:space="0" w:color="auto"/>
              <w:right w:val="single" w:sz="8" w:space="0" w:color="auto"/>
            </w:tcBorders>
            <w:noWrap/>
            <w:vAlign w:val="bottom"/>
            <w:hideMark/>
          </w:tcPr>
          <w:p w:rsidR="002D5A7B" w:rsidRPr="00520178" w:rsidRDefault="002D5A7B" w:rsidP="00933401">
            <w:pPr>
              <w:spacing w:after="0"/>
              <w:rPr>
                <w:rFonts w:ascii="Times New Roman" w:eastAsia="Batang" w:hAnsi="Times New Roman" w:cs="Times New Roman"/>
                <w:sz w:val="24"/>
                <w:szCs w:val="24"/>
                <w:lang w:eastAsia="ko-KR"/>
              </w:rPr>
            </w:pPr>
            <w:r w:rsidRPr="00520178">
              <w:rPr>
                <w:rFonts w:ascii="Times New Roman" w:eastAsia="Batang" w:hAnsi="Times New Roman" w:cs="Times New Roman"/>
                <w:sz w:val="24"/>
                <w:szCs w:val="24"/>
                <w:lang w:eastAsia="ko-KR"/>
              </w:rPr>
              <w:t xml:space="preserve">AB Tanımlı Genel Yönetim Borç Stoku/GSYH </w:t>
            </w:r>
          </w:p>
        </w:tc>
        <w:tc>
          <w:tcPr>
            <w:tcW w:w="1134" w:type="dxa"/>
            <w:tcBorders>
              <w:top w:val="single" w:sz="8" w:space="0" w:color="auto"/>
              <w:left w:val="single" w:sz="8" w:space="0" w:color="auto"/>
              <w:bottom w:val="single" w:sz="8" w:space="0" w:color="auto"/>
              <w:right w:val="single" w:sz="8" w:space="0" w:color="auto"/>
            </w:tcBorders>
            <w:noWrap/>
          </w:tcPr>
          <w:p w:rsidR="002D5A7B" w:rsidRPr="00520178" w:rsidRDefault="00794D57" w:rsidP="00BE1073">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33,2</w:t>
            </w:r>
          </w:p>
        </w:tc>
        <w:tc>
          <w:tcPr>
            <w:tcW w:w="1084" w:type="dxa"/>
            <w:tcBorders>
              <w:top w:val="single" w:sz="8" w:space="0" w:color="auto"/>
              <w:left w:val="single" w:sz="8" w:space="0" w:color="auto"/>
              <w:bottom w:val="single" w:sz="8" w:space="0" w:color="auto"/>
              <w:right w:val="single" w:sz="8" w:space="0" w:color="auto"/>
            </w:tcBorders>
            <w:noWrap/>
          </w:tcPr>
          <w:p w:rsidR="002D5A7B" w:rsidRPr="00520178" w:rsidRDefault="00794D57" w:rsidP="00FD456B">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32,5</w:t>
            </w:r>
          </w:p>
        </w:tc>
        <w:tc>
          <w:tcPr>
            <w:tcW w:w="1204" w:type="dxa"/>
            <w:tcBorders>
              <w:top w:val="single" w:sz="8" w:space="0" w:color="auto"/>
              <w:left w:val="single" w:sz="8" w:space="0" w:color="auto"/>
              <w:bottom w:val="single" w:sz="8" w:space="0" w:color="auto"/>
              <w:right w:val="single" w:sz="8" w:space="0" w:color="auto"/>
            </w:tcBorders>
            <w:noWrap/>
          </w:tcPr>
          <w:p w:rsidR="002D5A7B" w:rsidRPr="00520178" w:rsidRDefault="00794D57" w:rsidP="00FD456B">
            <w:pPr>
              <w:spacing w:after="0"/>
              <w:jc w:val="right"/>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32,3</w:t>
            </w:r>
          </w:p>
        </w:tc>
      </w:tr>
    </w:tbl>
    <w:p w:rsidR="002D5A7B" w:rsidRPr="00520178" w:rsidRDefault="002D5A7B" w:rsidP="009C094F">
      <w:pPr>
        <w:tabs>
          <w:tab w:val="left" w:pos="567"/>
        </w:tabs>
        <w:spacing w:before="240" w:after="24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AB tanımlı genel yönetim</w:t>
      </w:r>
      <w:r w:rsidR="000E4296" w:rsidRPr="00520178">
        <w:rPr>
          <w:rFonts w:ascii="Times New Roman" w:eastAsia="Times New Roman" w:hAnsi="Times New Roman" w:cs="Times New Roman"/>
          <w:sz w:val="24"/>
          <w:szCs w:val="24"/>
          <w:lang w:eastAsia="tr-TR"/>
        </w:rPr>
        <w:t xml:space="preserve"> borç stokunun GSYH’ye oranının </w:t>
      </w:r>
      <w:r w:rsidR="007B7CBC" w:rsidRPr="00520178">
        <w:rPr>
          <w:rFonts w:ascii="Times New Roman" w:eastAsia="Times New Roman" w:hAnsi="Times New Roman" w:cs="Times New Roman"/>
          <w:sz w:val="24"/>
          <w:szCs w:val="24"/>
          <w:lang w:eastAsia="tr-TR"/>
        </w:rPr>
        <w:t>20</w:t>
      </w:r>
      <w:r w:rsidR="00CD77AF"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007B7CBC"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 xml:space="preserve">yılı </w:t>
      </w:r>
      <w:r w:rsidR="007B7CBC" w:rsidRPr="00520178">
        <w:rPr>
          <w:rFonts w:ascii="Times New Roman" w:eastAsia="Times New Roman" w:hAnsi="Times New Roman" w:cs="Times New Roman"/>
          <w:sz w:val="24"/>
          <w:szCs w:val="24"/>
          <w:lang w:eastAsia="tr-TR"/>
        </w:rPr>
        <w:t xml:space="preserve">sonunda </w:t>
      </w:r>
      <w:r w:rsidRPr="00520178">
        <w:rPr>
          <w:rFonts w:ascii="Times New Roman" w:eastAsia="Times New Roman" w:hAnsi="Times New Roman" w:cs="Times New Roman"/>
          <w:sz w:val="24"/>
          <w:szCs w:val="24"/>
          <w:lang w:eastAsia="tr-TR"/>
        </w:rPr>
        <w:t xml:space="preserve">yüzde </w:t>
      </w:r>
      <w:r w:rsidR="00794D57" w:rsidRPr="00520178">
        <w:rPr>
          <w:rFonts w:ascii="Times New Roman" w:eastAsia="Times New Roman" w:hAnsi="Times New Roman" w:cs="Times New Roman"/>
          <w:sz w:val="24"/>
          <w:szCs w:val="24"/>
          <w:lang w:eastAsia="tr-TR"/>
        </w:rPr>
        <w:t>32,3</w:t>
      </w:r>
      <w:r w:rsidRPr="00520178">
        <w:rPr>
          <w:rFonts w:ascii="Times New Roman" w:eastAsia="Times New Roman" w:hAnsi="Times New Roman" w:cs="Times New Roman"/>
          <w:sz w:val="24"/>
          <w:szCs w:val="24"/>
          <w:lang w:eastAsia="tr-TR"/>
        </w:rPr>
        <w:t xml:space="preserve"> </w:t>
      </w:r>
      <w:r w:rsidR="00CF6B4E" w:rsidRPr="00520178">
        <w:rPr>
          <w:rFonts w:ascii="Times New Roman" w:eastAsia="Times New Roman" w:hAnsi="Times New Roman" w:cs="Times New Roman"/>
          <w:sz w:val="24"/>
          <w:szCs w:val="24"/>
          <w:lang w:eastAsia="tr-TR"/>
        </w:rPr>
        <w:t>s</w:t>
      </w:r>
      <w:r w:rsidRPr="00520178">
        <w:rPr>
          <w:rFonts w:ascii="Times New Roman" w:eastAsia="Times New Roman" w:hAnsi="Times New Roman" w:cs="Times New Roman"/>
          <w:sz w:val="24"/>
          <w:szCs w:val="24"/>
          <w:lang w:eastAsia="tr-TR"/>
        </w:rPr>
        <w:t>eviyesine düşürülmesi hedeflenmektedir.</w:t>
      </w:r>
    </w:p>
    <w:p w:rsidR="002D5A7B" w:rsidRPr="00520178" w:rsidRDefault="002D5A7B" w:rsidP="008E6B78">
      <w:pPr>
        <w:pStyle w:val="ListeParagraf"/>
        <w:numPr>
          <w:ilvl w:val="0"/>
          <w:numId w:val="33"/>
        </w:numPr>
        <w:tabs>
          <w:tab w:val="left" w:pos="851"/>
        </w:tabs>
        <w:spacing w:after="120"/>
        <w:ind w:left="0" w:firstLine="567"/>
        <w:contextualSpacing w:val="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 xml:space="preserve">KURUMSAL ÖDENEK TEKLİF TAVANLARI VE BÜTÇE SÜRECİNE İLİŞKİN HUSUSLAR </w:t>
      </w:r>
    </w:p>
    <w:p w:rsidR="00365034" w:rsidRPr="00520178" w:rsidRDefault="002D5A7B" w:rsidP="009F0E28">
      <w:pPr>
        <w:pStyle w:val="ListeParagraf"/>
        <w:numPr>
          <w:ilvl w:val="1"/>
          <w:numId w:val="33"/>
        </w:numPr>
        <w:tabs>
          <w:tab w:val="left" w:pos="993"/>
        </w:tabs>
        <w:spacing w:after="120"/>
        <w:ind w:left="567" w:firstLine="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Kurumsal Ödenek Teklif Tavanları</w:t>
      </w:r>
    </w:p>
    <w:p w:rsidR="002D5A7B" w:rsidRPr="00520178" w:rsidRDefault="002D5A7B" w:rsidP="00933401">
      <w:pPr>
        <w:tabs>
          <w:tab w:val="left" w:pos="900"/>
        </w:tabs>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 xml:space="preserve">5018 sayılı Kanunun 16 </w:t>
      </w:r>
      <w:proofErr w:type="spellStart"/>
      <w:r w:rsidRPr="00520178">
        <w:rPr>
          <w:rFonts w:ascii="Times New Roman" w:eastAsia="Times New Roman" w:hAnsi="Times New Roman" w:cs="Times New Roman"/>
          <w:sz w:val="24"/>
          <w:szCs w:val="24"/>
          <w:lang w:eastAsia="tr-TR"/>
        </w:rPr>
        <w:t>ncı</w:t>
      </w:r>
      <w:proofErr w:type="spellEnd"/>
      <w:r w:rsidRPr="00520178">
        <w:rPr>
          <w:rFonts w:ascii="Times New Roman" w:eastAsia="Times New Roman" w:hAnsi="Times New Roman" w:cs="Times New Roman"/>
          <w:sz w:val="24"/>
          <w:szCs w:val="24"/>
          <w:lang w:eastAsia="tr-TR"/>
        </w:rPr>
        <w:t xml:space="preserve"> maddesi gereğince, söz konusu Kanuna ekli (I) ve (II) sayılı cetvellerde yer alan genel bütçe kapsamındaki kamu idareler</w:t>
      </w:r>
      <w:r w:rsidR="006112A6" w:rsidRPr="00520178">
        <w:rPr>
          <w:rFonts w:ascii="Times New Roman" w:eastAsia="Times New Roman" w:hAnsi="Times New Roman" w:cs="Times New Roman"/>
          <w:sz w:val="24"/>
          <w:szCs w:val="24"/>
          <w:lang w:eastAsia="tr-TR"/>
        </w:rPr>
        <w:t xml:space="preserve">i ve özel bütçeli idarelerin </w:t>
      </w: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006112A6"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21</w:t>
      </w:r>
      <w:r w:rsidR="006112A6" w:rsidRPr="00520178">
        <w:rPr>
          <w:rFonts w:ascii="Times New Roman" w:eastAsia="Times New Roman" w:hAnsi="Times New Roman" w:cs="Times New Roman"/>
          <w:sz w:val="24"/>
          <w:szCs w:val="24"/>
          <w:lang w:eastAsia="tr-TR"/>
        </w:rPr>
        <w:t xml:space="preserve"> ve 20</w:t>
      </w:r>
      <w:r w:rsidR="0078597E" w:rsidRPr="00520178">
        <w:rPr>
          <w:rFonts w:ascii="Times New Roman" w:eastAsia="Times New Roman" w:hAnsi="Times New Roman" w:cs="Times New Roman"/>
          <w:sz w:val="24"/>
          <w:szCs w:val="24"/>
          <w:lang w:eastAsia="tr-TR"/>
        </w:rPr>
        <w:t>22</w:t>
      </w:r>
      <w:r w:rsidRPr="00520178">
        <w:rPr>
          <w:rFonts w:ascii="Times New Roman" w:eastAsia="Times New Roman" w:hAnsi="Times New Roman" w:cs="Times New Roman"/>
          <w:sz w:val="24"/>
          <w:szCs w:val="24"/>
          <w:lang w:eastAsia="tr-TR"/>
        </w:rPr>
        <w:t xml:space="preserve"> yıllarına ilişkin ödenek teklif tavanları ekli tablolarda yer almaktadır. </w:t>
      </w:r>
    </w:p>
    <w:p w:rsidR="002D5A7B"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Kamu idarelerinin ödenek teklif tavanları belirlenirken, makroekonomik göstergeler ile Orta Vadeli Programda belirlenen politika öncelikleri, kamu idarelerinin ihtiyaçları ve yürüttükleri önemli faaliyet ve projeler dikkate alınmıştır.</w:t>
      </w:r>
    </w:p>
    <w:p w:rsidR="002D5A7B" w:rsidRPr="00520178" w:rsidRDefault="002D5A7B" w:rsidP="009F0E28">
      <w:pPr>
        <w:pStyle w:val="ListeParagraf"/>
        <w:numPr>
          <w:ilvl w:val="1"/>
          <w:numId w:val="33"/>
        </w:numPr>
        <w:tabs>
          <w:tab w:val="left" w:pos="993"/>
        </w:tabs>
        <w:spacing w:after="120"/>
        <w:ind w:left="567" w:firstLine="0"/>
        <w:jc w:val="both"/>
        <w:rPr>
          <w:rFonts w:ascii="Times New Roman" w:eastAsia="Times New Roman" w:hAnsi="Times New Roman" w:cs="Times New Roman"/>
          <w:b/>
          <w:sz w:val="24"/>
          <w:szCs w:val="24"/>
          <w:lang w:eastAsia="tr-TR"/>
        </w:rPr>
      </w:pPr>
      <w:r w:rsidRPr="00520178">
        <w:rPr>
          <w:rFonts w:ascii="Times New Roman" w:eastAsia="Times New Roman" w:hAnsi="Times New Roman" w:cs="Times New Roman"/>
          <w:b/>
          <w:sz w:val="24"/>
          <w:szCs w:val="24"/>
          <w:lang w:eastAsia="tr-TR"/>
        </w:rPr>
        <w:t>Bütçe Sürecine İlişkin Hususlar</w:t>
      </w:r>
    </w:p>
    <w:p w:rsidR="002D5A7B" w:rsidRPr="00520178" w:rsidRDefault="002D5A7B" w:rsidP="00933401">
      <w:pPr>
        <w:spacing w:after="120"/>
        <w:ind w:firstLine="567"/>
        <w:jc w:val="both"/>
        <w:rPr>
          <w:rFonts w:ascii="Times New Roman" w:eastAsia="Times New Roman" w:hAnsi="Times New Roman" w:cs="Times New Roman"/>
          <w:bCs/>
          <w:sz w:val="24"/>
          <w:szCs w:val="24"/>
          <w:lang w:eastAsia="tr-TR"/>
        </w:rPr>
      </w:pPr>
      <w:r w:rsidRPr="00520178">
        <w:rPr>
          <w:rFonts w:ascii="Times New Roman" w:eastAsia="Times New Roman" w:hAnsi="Times New Roman" w:cs="Times New Roman"/>
          <w:sz w:val="24"/>
          <w:szCs w:val="24"/>
          <w:lang w:eastAsia="tr-TR"/>
        </w:rPr>
        <w:t>20</w:t>
      </w:r>
      <w:r w:rsidR="0078597E" w:rsidRPr="00520178">
        <w:rPr>
          <w:rFonts w:ascii="Times New Roman" w:eastAsia="Times New Roman" w:hAnsi="Times New Roman" w:cs="Times New Roman"/>
          <w:sz w:val="24"/>
          <w:szCs w:val="24"/>
          <w:lang w:eastAsia="tr-TR"/>
        </w:rPr>
        <w:t>20</w:t>
      </w:r>
      <w:r w:rsidR="006112A6"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20</w:t>
      </w:r>
      <w:r w:rsidR="00343066"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1</w:t>
      </w:r>
      <w:r w:rsidR="006112A6" w:rsidRPr="00520178">
        <w:rPr>
          <w:rFonts w:ascii="Times New Roman" w:eastAsia="Times New Roman" w:hAnsi="Times New Roman" w:cs="Times New Roman"/>
          <w:sz w:val="24"/>
          <w:szCs w:val="24"/>
          <w:lang w:eastAsia="tr-TR"/>
        </w:rPr>
        <w:t xml:space="preserve"> ve 2021</w:t>
      </w:r>
      <w:r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bCs/>
          <w:sz w:val="24"/>
          <w:szCs w:val="24"/>
          <w:lang w:eastAsia="tr-TR"/>
        </w:rPr>
        <w:t xml:space="preserve">yılları bütçe teklifleri 5018 sayılı Kanunun 15, 16, 17 ve 18 inci maddelerine uygun olarak çok yıllı bütçeleme anlayışı ile uyumlu bir şekilde hazırlanacaktır. </w:t>
      </w:r>
    </w:p>
    <w:p w:rsidR="002D5A7B" w:rsidRPr="00520178" w:rsidRDefault="002D5A7B" w:rsidP="00933401">
      <w:pPr>
        <w:spacing w:after="120"/>
        <w:ind w:firstLine="567"/>
        <w:jc w:val="both"/>
        <w:rPr>
          <w:rFonts w:ascii="Times New Roman" w:eastAsia="Times New Roman" w:hAnsi="Times New Roman" w:cs="Times New Roman"/>
          <w:sz w:val="24"/>
          <w:szCs w:val="24"/>
          <w:lang w:eastAsia="tr-TR"/>
        </w:rPr>
      </w:pPr>
      <w:r w:rsidRPr="00520178">
        <w:rPr>
          <w:rFonts w:ascii="Times New Roman" w:eastAsia="Times New Roman" w:hAnsi="Times New Roman" w:cs="Times New Roman"/>
          <w:sz w:val="24"/>
          <w:szCs w:val="24"/>
          <w:lang w:eastAsia="tr-TR"/>
        </w:rPr>
        <w:t>Çok yıllı bütçelemenin başarılı bir şekilde sürdürülmesi, bütçe uygulamalarında kamu idareleri arasında gerekli işbirliği ve eşgüdümün sağlıklı bir şekilde yürütülmesine bağlı bulunmaktadır. Bütün kamu idareleri, önceki dönemlerde olduğu gibi 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-20</w:t>
      </w:r>
      <w:r w:rsidR="00343066"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yıllarını kapsayan çok yıllı bütçe döneminde de aynı anlayışla hareket edeceklerdir. </w:t>
      </w:r>
    </w:p>
    <w:p w:rsidR="002D5A7B" w:rsidRPr="00520178" w:rsidRDefault="002D5A7B" w:rsidP="00933401">
      <w:pPr>
        <w:spacing w:after="120"/>
        <w:ind w:firstLine="567"/>
        <w:jc w:val="both"/>
        <w:rPr>
          <w:rFonts w:ascii="Times New Roman" w:eastAsia="Times New Roman" w:hAnsi="Times New Roman" w:cs="Times New Roman"/>
          <w:sz w:val="24"/>
          <w:szCs w:val="24"/>
          <w:lang w:eastAsia="tr-TR"/>
        </w:rPr>
      </w:pPr>
      <w:proofErr w:type="gramStart"/>
      <w:r w:rsidRPr="00520178">
        <w:rPr>
          <w:rFonts w:ascii="Times New Roman" w:eastAsia="Times New Roman" w:hAnsi="Times New Roman" w:cs="Times New Roman"/>
          <w:sz w:val="24"/>
          <w:szCs w:val="24"/>
          <w:lang w:eastAsia="tr-TR"/>
        </w:rPr>
        <w:t>Genel bütçe kapsamındaki kamu idareleri ile özel bütçeli idareler, Bütçe Çağrısı ve eki Bütçe Hazırlama Rehberi ile Yatırım Genelgesi ve eki Yatırım Programı Hazırlama Rehberindeki esas ve usuller çerçevesinde 20</w:t>
      </w:r>
      <w:r w:rsidR="0078597E" w:rsidRPr="00520178">
        <w:rPr>
          <w:rFonts w:ascii="Times New Roman" w:eastAsia="Times New Roman" w:hAnsi="Times New Roman" w:cs="Times New Roman"/>
          <w:sz w:val="24"/>
          <w:szCs w:val="24"/>
          <w:lang w:eastAsia="tr-TR"/>
        </w:rPr>
        <w:t>20</w:t>
      </w:r>
      <w:r w:rsidRPr="00520178">
        <w:rPr>
          <w:rFonts w:ascii="Times New Roman" w:eastAsia="Times New Roman" w:hAnsi="Times New Roman" w:cs="Times New Roman"/>
          <w:sz w:val="24"/>
          <w:szCs w:val="24"/>
          <w:lang w:eastAsia="tr-TR"/>
        </w:rPr>
        <w:t>, 20</w:t>
      </w:r>
      <w:r w:rsidR="006112A6"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1</w:t>
      </w:r>
      <w:r w:rsidRPr="00520178">
        <w:rPr>
          <w:rFonts w:ascii="Times New Roman" w:eastAsia="Times New Roman" w:hAnsi="Times New Roman" w:cs="Times New Roman"/>
          <w:sz w:val="24"/>
          <w:szCs w:val="24"/>
          <w:lang w:eastAsia="tr-TR"/>
        </w:rPr>
        <w:t xml:space="preserve"> ve 20</w:t>
      </w:r>
      <w:r w:rsidR="00343066" w:rsidRPr="00520178">
        <w:rPr>
          <w:rFonts w:ascii="Times New Roman" w:eastAsia="Times New Roman" w:hAnsi="Times New Roman" w:cs="Times New Roman"/>
          <w:sz w:val="24"/>
          <w:szCs w:val="24"/>
          <w:lang w:eastAsia="tr-TR"/>
        </w:rPr>
        <w:t>2</w:t>
      </w:r>
      <w:r w:rsidR="0078597E" w:rsidRPr="00520178">
        <w:rPr>
          <w:rFonts w:ascii="Times New Roman" w:eastAsia="Times New Roman" w:hAnsi="Times New Roman" w:cs="Times New Roman"/>
          <w:sz w:val="24"/>
          <w:szCs w:val="24"/>
          <w:lang w:eastAsia="tr-TR"/>
        </w:rPr>
        <w:t>2</w:t>
      </w:r>
      <w:r w:rsidRPr="00520178">
        <w:rPr>
          <w:rFonts w:ascii="Times New Roman" w:eastAsia="Times New Roman" w:hAnsi="Times New Roman" w:cs="Times New Roman"/>
          <w:sz w:val="24"/>
          <w:szCs w:val="24"/>
          <w:lang w:eastAsia="tr-TR"/>
        </w:rPr>
        <w:t xml:space="preserve"> yıllarına ilişkin bütçe tekliflerini hazırlayacaklar ve</w:t>
      </w:r>
      <w:r w:rsidR="0015590B" w:rsidRPr="00520178">
        <w:rPr>
          <w:rFonts w:ascii="Times New Roman" w:eastAsia="Times New Roman" w:hAnsi="Times New Roman" w:cs="Times New Roman"/>
          <w:sz w:val="24"/>
          <w:szCs w:val="24"/>
          <w:lang w:eastAsia="tr-TR"/>
        </w:rPr>
        <w:t xml:space="preserve"> </w:t>
      </w:r>
      <w:r w:rsidR="0015590B" w:rsidRPr="00520178">
        <w:rPr>
          <w:rFonts w:ascii="Times New Roman" w:eastAsia="Times New Roman" w:hAnsi="Times New Roman" w:cs="Times New Roman"/>
          <w:b/>
          <w:sz w:val="24"/>
          <w:szCs w:val="24"/>
          <w:u w:val="single"/>
          <w:lang w:eastAsia="tr-TR"/>
        </w:rPr>
        <w:t>14 Ekim 2019</w:t>
      </w:r>
      <w:r w:rsidR="00260265" w:rsidRPr="00520178">
        <w:rPr>
          <w:rFonts w:ascii="Times New Roman" w:eastAsia="Times New Roman" w:hAnsi="Times New Roman" w:cs="Times New Roman"/>
          <w:sz w:val="24"/>
          <w:szCs w:val="24"/>
          <w:lang w:eastAsia="tr-TR"/>
        </w:rPr>
        <w:t xml:space="preserve"> </w:t>
      </w:r>
      <w:r w:rsidRPr="00520178">
        <w:rPr>
          <w:rFonts w:ascii="Times New Roman" w:eastAsia="Times New Roman" w:hAnsi="Times New Roman" w:cs="Times New Roman"/>
          <w:sz w:val="24"/>
          <w:szCs w:val="24"/>
          <w:lang w:eastAsia="tr-TR"/>
        </w:rPr>
        <w:t xml:space="preserve">tarihine kadar kesinleşen bütçe </w:t>
      </w:r>
      <w:r w:rsidR="007C3329" w:rsidRPr="00520178">
        <w:rPr>
          <w:rFonts w:ascii="Times New Roman" w:eastAsia="Times New Roman" w:hAnsi="Times New Roman" w:cs="Times New Roman"/>
          <w:sz w:val="24"/>
          <w:szCs w:val="24"/>
          <w:lang w:eastAsia="tr-TR"/>
        </w:rPr>
        <w:t xml:space="preserve">tekliflerini </w:t>
      </w:r>
      <w:r w:rsidR="0078597E" w:rsidRPr="00520178">
        <w:rPr>
          <w:rFonts w:ascii="Times New Roman" w:eastAsia="Times New Roman" w:hAnsi="Times New Roman" w:cs="Times New Roman"/>
          <w:sz w:val="24"/>
          <w:szCs w:val="24"/>
          <w:lang w:eastAsia="tr-TR"/>
        </w:rPr>
        <w:t>Strateji ve Bütçe Başkanlığına</w:t>
      </w:r>
      <w:r w:rsidRPr="00520178">
        <w:rPr>
          <w:rFonts w:ascii="Times New Roman" w:eastAsia="Times New Roman" w:hAnsi="Times New Roman" w:cs="Times New Roman"/>
          <w:sz w:val="24"/>
          <w:szCs w:val="24"/>
          <w:lang w:eastAsia="tr-TR"/>
        </w:rPr>
        <w:t xml:space="preserve"> </w:t>
      </w:r>
      <w:r w:rsidR="00260265" w:rsidRPr="00520178">
        <w:rPr>
          <w:rFonts w:ascii="Times New Roman" w:eastAsia="Times New Roman" w:hAnsi="Times New Roman" w:cs="Times New Roman"/>
          <w:sz w:val="24"/>
          <w:szCs w:val="24"/>
          <w:lang w:eastAsia="tr-TR"/>
        </w:rPr>
        <w:t xml:space="preserve">teslim edeceklerdir. </w:t>
      </w:r>
      <w:proofErr w:type="gramEnd"/>
    </w:p>
    <w:sectPr w:rsidR="002D5A7B" w:rsidRPr="005201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4E5" w:rsidRDefault="006374E5" w:rsidP="00520178">
      <w:pPr>
        <w:spacing w:after="0" w:line="240" w:lineRule="auto"/>
      </w:pPr>
      <w:r>
        <w:separator/>
      </w:r>
    </w:p>
  </w:endnote>
  <w:endnote w:type="continuationSeparator" w:id="0">
    <w:p w:rsidR="006374E5" w:rsidRDefault="006374E5" w:rsidP="0052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479898"/>
      <w:docPartObj>
        <w:docPartGallery w:val="Page Numbers (Bottom of Page)"/>
        <w:docPartUnique/>
      </w:docPartObj>
    </w:sdtPr>
    <w:sdtEndPr/>
    <w:sdtContent>
      <w:sdt>
        <w:sdtPr>
          <w:id w:val="1728636285"/>
          <w:docPartObj>
            <w:docPartGallery w:val="Page Numbers (Top of Page)"/>
            <w:docPartUnique/>
          </w:docPartObj>
        </w:sdtPr>
        <w:sdtEndPr/>
        <w:sdtContent>
          <w:p w:rsidR="00520178" w:rsidRDefault="00520178">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6C787B">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C787B">
              <w:rPr>
                <w:b/>
                <w:bCs/>
                <w:noProof/>
              </w:rPr>
              <w:t>10</w:t>
            </w:r>
            <w:r>
              <w:rPr>
                <w:b/>
                <w:bCs/>
                <w:sz w:val="24"/>
                <w:szCs w:val="24"/>
              </w:rPr>
              <w:fldChar w:fldCharType="end"/>
            </w:r>
          </w:p>
        </w:sdtContent>
      </w:sdt>
    </w:sdtContent>
  </w:sdt>
  <w:p w:rsidR="00520178" w:rsidRDefault="0052017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4E5" w:rsidRDefault="006374E5" w:rsidP="00520178">
      <w:pPr>
        <w:spacing w:after="0" w:line="240" w:lineRule="auto"/>
      </w:pPr>
      <w:r>
        <w:separator/>
      </w:r>
    </w:p>
  </w:footnote>
  <w:footnote w:type="continuationSeparator" w:id="0">
    <w:p w:rsidR="006374E5" w:rsidRDefault="006374E5" w:rsidP="0052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C03"/>
    <w:multiLevelType w:val="multilevel"/>
    <w:tmpl w:val="DADCA6A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4002DE2"/>
    <w:multiLevelType w:val="hybridMultilevel"/>
    <w:tmpl w:val="76D446A4"/>
    <w:lvl w:ilvl="0" w:tplc="A0A08128">
      <w:start w:val="1"/>
      <w:numFmt w:val="upperLetter"/>
      <w:lvlText w:val="%1."/>
      <w:lvlJc w:val="left"/>
      <w:pPr>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51949FA"/>
    <w:multiLevelType w:val="hybridMultilevel"/>
    <w:tmpl w:val="E6E0D742"/>
    <w:lvl w:ilvl="0" w:tplc="940E6BCC">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BD2198"/>
    <w:multiLevelType w:val="hybridMultilevel"/>
    <w:tmpl w:val="46327AC4"/>
    <w:lvl w:ilvl="0" w:tplc="6DCEFB10">
      <w:start w:val="1"/>
      <w:numFmt w:val="upperLetter"/>
      <w:lvlText w:val="%1."/>
      <w:lvlJc w:val="left"/>
      <w:pPr>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0217F0B"/>
    <w:multiLevelType w:val="hybridMultilevel"/>
    <w:tmpl w:val="5A4A3B22"/>
    <w:lvl w:ilvl="0" w:tplc="F15CDCC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11A35A34"/>
    <w:multiLevelType w:val="hybridMultilevel"/>
    <w:tmpl w:val="80EA0298"/>
    <w:lvl w:ilvl="0" w:tplc="47FAB63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199C1B5A"/>
    <w:multiLevelType w:val="hybridMultilevel"/>
    <w:tmpl w:val="D97625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04D62A1"/>
    <w:multiLevelType w:val="hybridMultilevel"/>
    <w:tmpl w:val="AB103972"/>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8">
    <w:nsid w:val="23714C37"/>
    <w:multiLevelType w:val="hybridMultilevel"/>
    <w:tmpl w:val="6302D80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C644C7"/>
    <w:multiLevelType w:val="hybridMultilevel"/>
    <w:tmpl w:val="F4A6102C"/>
    <w:lvl w:ilvl="0" w:tplc="5F0CB6BE">
      <w:start w:val="8"/>
      <w:numFmt w:val="decimal"/>
      <w:lvlText w:val="%1."/>
      <w:lvlJc w:val="left"/>
      <w:pPr>
        <w:ind w:left="927" w:hanging="360"/>
      </w:pPr>
      <w:rPr>
        <w:rFonts w:hint="default"/>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nsid w:val="25E32033"/>
    <w:multiLevelType w:val="hybridMultilevel"/>
    <w:tmpl w:val="319A6E08"/>
    <w:lvl w:ilvl="0" w:tplc="A980094C">
      <w:start w:val="1"/>
      <w:numFmt w:val="decimal"/>
      <w:lvlText w:val="%1."/>
      <w:lvlJc w:val="left"/>
      <w:pPr>
        <w:ind w:left="720" w:hanging="360"/>
      </w:pPr>
      <w:rPr>
        <w:rFonts w:cs="Times New Roman"/>
        <w:b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1F07449"/>
    <w:multiLevelType w:val="hybridMultilevel"/>
    <w:tmpl w:val="C064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385D32"/>
    <w:multiLevelType w:val="hybridMultilevel"/>
    <w:tmpl w:val="35985F34"/>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nsid w:val="37980A5F"/>
    <w:multiLevelType w:val="hybridMultilevel"/>
    <w:tmpl w:val="3B941108"/>
    <w:lvl w:ilvl="0" w:tplc="491C19C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F8757AC"/>
    <w:multiLevelType w:val="multilevel"/>
    <w:tmpl w:val="F3DE108C"/>
    <w:lvl w:ilvl="0">
      <w:start w:val="1"/>
      <w:numFmt w:val="decimal"/>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5">
    <w:nsid w:val="407C0EC3"/>
    <w:multiLevelType w:val="hybridMultilevel"/>
    <w:tmpl w:val="50E4A96C"/>
    <w:lvl w:ilvl="0" w:tplc="16D07090">
      <w:start w:val="1"/>
      <w:numFmt w:val="decimal"/>
      <w:lvlText w:val="%1."/>
      <w:lvlJc w:val="left"/>
      <w:pPr>
        <w:ind w:left="360" w:hanging="360"/>
      </w:pPr>
      <w:rPr>
        <w:rFonts w:hint="default"/>
        <w:b w:val="0"/>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1FE7435"/>
    <w:multiLevelType w:val="hybridMultilevel"/>
    <w:tmpl w:val="97D8A0F0"/>
    <w:lvl w:ilvl="0" w:tplc="AC2A437C">
      <w:start w:val="15"/>
      <w:numFmt w:val="decimal"/>
      <w:lvlText w:val="%1."/>
      <w:lvlJc w:val="left"/>
      <w:pPr>
        <w:ind w:left="927" w:hanging="360"/>
      </w:pPr>
      <w:rPr>
        <w:rFonts w:eastAsia="Times New Roman" w:hint="default"/>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nsid w:val="450C32E7"/>
    <w:multiLevelType w:val="hybridMultilevel"/>
    <w:tmpl w:val="82F6ACE6"/>
    <w:lvl w:ilvl="0" w:tplc="1EEA56E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5F74F7A"/>
    <w:multiLevelType w:val="hybridMultilevel"/>
    <w:tmpl w:val="80025F22"/>
    <w:lvl w:ilvl="0" w:tplc="041F0015">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7D039C2"/>
    <w:multiLevelType w:val="hybridMultilevel"/>
    <w:tmpl w:val="739C837A"/>
    <w:lvl w:ilvl="0" w:tplc="CC904370">
      <w:start w:val="1"/>
      <w:numFmt w:val="bullet"/>
      <w:lvlText w:val=""/>
      <w:lvlJc w:val="left"/>
      <w:pPr>
        <w:ind w:left="360" w:hanging="360"/>
      </w:pPr>
      <w:rPr>
        <w:rFonts w:ascii="Wingdings" w:hAnsi="Wingdings" w:hint="default"/>
        <w:b/>
        <w:color w:val="C0504D" w:themeColor="accent2"/>
      </w:rPr>
    </w:lvl>
    <w:lvl w:ilvl="1" w:tplc="54C6B560">
      <w:start w:val="1"/>
      <w:numFmt w:val="bullet"/>
      <w:lvlText w:val=""/>
      <w:lvlJc w:val="left"/>
      <w:pPr>
        <w:ind w:left="785" w:hanging="360"/>
      </w:pPr>
      <w:rPr>
        <w:rFonts w:ascii="Wingdings" w:hAnsi="Wingdings" w:hint="default"/>
        <w:color w:val="auto"/>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4E1369DB"/>
    <w:multiLevelType w:val="hybridMultilevel"/>
    <w:tmpl w:val="D2DCC9C4"/>
    <w:lvl w:ilvl="0" w:tplc="EBCC828C">
      <w:start w:val="15"/>
      <w:numFmt w:val="decimal"/>
      <w:lvlText w:val="%1."/>
      <w:lvlJc w:val="left"/>
      <w:pPr>
        <w:ind w:left="927" w:hanging="360"/>
      </w:pPr>
      <w:rPr>
        <w:rFonts w:hint="default"/>
        <w:strike w:val="0"/>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nsid w:val="4F4E32C8"/>
    <w:multiLevelType w:val="hybridMultilevel"/>
    <w:tmpl w:val="C382E398"/>
    <w:lvl w:ilvl="0" w:tplc="CC904370">
      <w:start w:val="1"/>
      <w:numFmt w:val="bullet"/>
      <w:lvlText w:val=""/>
      <w:lvlJc w:val="left"/>
      <w:pPr>
        <w:ind w:left="785" w:hanging="360"/>
      </w:pPr>
      <w:rPr>
        <w:rFonts w:ascii="Wingdings" w:hAnsi="Wingdings" w:hint="default"/>
        <w:b/>
        <w:color w:val="C0504D" w:themeColor="accent2"/>
      </w:rPr>
    </w:lvl>
    <w:lvl w:ilvl="1" w:tplc="650262FE">
      <w:start w:val="1"/>
      <w:numFmt w:val="bullet"/>
      <w:lvlText w:val=""/>
      <w:lvlJc w:val="left"/>
      <w:pPr>
        <w:ind w:left="1210" w:hanging="360"/>
      </w:pPr>
      <w:rPr>
        <w:rFonts w:ascii="Wingdings" w:hAnsi="Wingdings" w:hint="default"/>
      </w:rPr>
    </w:lvl>
    <w:lvl w:ilvl="2" w:tplc="650262FE">
      <w:start w:val="1"/>
      <w:numFmt w:val="bullet"/>
      <w:lvlText w:val=""/>
      <w:lvlJc w:val="left"/>
      <w:pPr>
        <w:ind w:left="1314" w:hanging="180"/>
      </w:pPr>
      <w:rPr>
        <w:rFonts w:ascii="Wingdings" w:hAnsi="Wingdings" w:hint="default"/>
      </w:rPr>
    </w:lvl>
    <w:lvl w:ilvl="3" w:tplc="041F000F">
      <w:start w:val="1"/>
      <w:numFmt w:val="decimal"/>
      <w:lvlText w:val="%4."/>
      <w:lvlJc w:val="left"/>
      <w:pPr>
        <w:ind w:left="2945" w:hanging="360"/>
      </w:pPr>
    </w:lvl>
    <w:lvl w:ilvl="4" w:tplc="BD701C12">
      <w:start w:val="1"/>
      <w:numFmt w:val="bullet"/>
      <w:lvlText w:val=""/>
      <w:lvlJc w:val="left"/>
      <w:pPr>
        <w:ind w:left="3621" w:hanging="360"/>
      </w:pPr>
      <w:rPr>
        <w:rFonts w:ascii="Wingdings" w:hAnsi="Wingdings" w:hint="default"/>
        <w:b/>
        <w:color w:val="auto"/>
      </w:rPr>
    </w:lvl>
    <w:lvl w:ilvl="5" w:tplc="041F001B">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2">
    <w:nsid w:val="53133F7F"/>
    <w:multiLevelType w:val="hybridMultilevel"/>
    <w:tmpl w:val="289E8E18"/>
    <w:lvl w:ilvl="0" w:tplc="83B4FB1C">
      <w:start w:val="1"/>
      <w:numFmt w:val="bullet"/>
      <w:lvlText w:val="­"/>
      <w:lvlJc w:val="left"/>
      <w:pPr>
        <w:ind w:left="720" w:hanging="360"/>
      </w:pPr>
      <w:rPr>
        <w:rFonts w:ascii="Courier New" w:hAnsi="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3703FE1"/>
    <w:multiLevelType w:val="multilevel"/>
    <w:tmpl w:val="A2DAEF6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55527948"/>
    <w:multiLevelType w:val="hybridMultilevel"/>
    <w:tmpl w:val="88C46B76"/>
    <w:lvl w:ilvl="0" w:tplc="25048544">
      <w:start w:val="1"/>
      <w:numFmt w:val="decimal"/>
      <w:lvlText w:val="%1."/>
      <w:lvlJc w:val="left"/>
      <w:pPr>
        <w:ind w:left="1920" w:hanging="360"/>
      </w:pPr>
      <w:rPr>
        <w:b w:val="0"/>
        <w:strike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DEA25CE"/>
    <w:multiLevelType w:val="hybridMultilevel"/>
    <w:tmpl w:val="D8084BB0"/>
    <w:lvl w:ilvl="0" w:tplc="0826D950">
      <w:start w:val="14"/>
      <w:numFmt w:val="decimal"/>
      <w:lvlText w:val="%1."/>
      <w:lvlJc w:val="left"/>
      <w:pPr>
        <w:ind w:left="1353" w:hanging="360"/>
      </w:pPr>
      <w:rPr>
        <w:rFonts w:eastAsia="Times New Roman" w:hint="default"/>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nsid w:val="62BB734C"/>
    <w:multiLevelType w:val="hybridMultilevel"/>
    <w:tmpl w:val="9C608964"/>
    <w:lvl w:ilvl="0" w:tplc="EEF83B70">
      <w:start w:val="1"/>
      <w:numFmt w:val="upperLetter"/>
      <w:lvlText w:val="%1."/>
      <w:lvlJc w:val="left"/>
      <w:pPr>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69221DF4"/>
    <w:multiLevelType w:val="hybridMultilevel"/>
    <w:tmpl w:val="ADE6F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E3836CD"/>
    <w:multiLevelType w:val="hybridMultilevel"/>
    <w:tmpl w:val="F4A851DC"/>
    <w:lvl w:ilvl="0" w:tplc="D5D02DB6">
      <w:start w:val="1"/>
      <w:numFmt w:val="decimal"/>
      <w:lvlText w:val="%1."/>
      <w:lvlJc w:val="left"/>
      <w:pPr>
        <w:ind w:left="2771"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0820821"/>
    <w:multiLevelType w:val="multilevel"/>
    <w:tmpl w:val="F9A61FC2"/>
    <w:lvl w:ilvl="0">
      <w:start w:val="1"/>
      <w:numFmt w:val="bullet"/>
      <w:lvlText w:val="•"/>
      <w:lvlJc w:val="left"/>
      <w:rPr>
        <w:rFonts w:ascii="Batang" w:eastAsia="Batang" w:hAnsi="Batang" w:cs="Batang"/>
        <w:b w:val="0"/>
        <w:bCs w:val="0"/>
        <w:i w:val="0"/>
        <w:iCs w:val="0"/>
        <w:smallCaps w:val="0"/>
        <w:strike w:val="0"/>
        <w:color w:val="000000"/>
        <w:spacing w:val="0"/>
        <w:w w:val="100"/>
        <w:position w:val="0"/>
        <w:sz w:val="21"/>
        <w:szCs w:val="21"/>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8B7EA4"/>
    <w:multiLevelType w:val="hybridMultilevel"/>
    <w:tmpl w:val="779AC0D4"/>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nsid w:val="7FA22E0F"/>
    <w:multiLevelType w:val="singleLevel"/>
    <w:tmpl w:val="52D6441E"/>
    <w:lvl w:ilvl="0">
      <w:start w:val="3"/>
      <w:numFmt w:val="upperLetter"/>
      <w:lvlText w:val="%1."/>
      <w:legacy w:legacy="1" w:legacySpace="0" w:legacyIndent="0"/>
      <w:lvlJc w:val="left"/>
      <w:rPr>
        <w:rFonts w:ascii="Times New Roman" w:hAnsi="Times New Roman" w:cs="Times New Roman" w:hint="default"/>
        <w:color w:val="28292C"/>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2"/>
  </w:num>
  <w:num w:numId="7">
    <w:abstractNumId w:val="6"/>
  </w:num>
  <w:num w:numId="8">
    <w:abstractNumId w:val="5"/>
  </w:num>
  <w:num w:numId="9">
    <w:abstractNumId w:val="2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8"/>
  </w:num>
  <w:num w:numId="13">
    <w:abstractNumId w:val="29"/>
  </w:num>
  <w:num w:numId="14">
    <w:abstractNumId w:val="18"/>
  </w:num>
  <w:num w:numId="15">
    <w:abstractNumId w:val="31"/>
  </w:num>
  <w:num w:numId="16">
    <w:abstractNumId w:val="21"/>
  </w:num>
  <w:num w:numId="17">
    <w:abstractNumId w:val="13"/>
  </w:num>
  <w:num w:numId="18">
    <w:abstractNumId w:val="15"/>
  </w:num>
  <w:num w:numId="19">
    <w:abstractNumId w:val="19"/>
  </w:num>
  <w:num w:numId="20">
    <w:abstractNumId w:val="12"/>
  </w:num>
  <w:num w:numId="21">
    <w:abstractNumId w:val="14"/>
  </w:num>
  <w:num w:numId="22">
    <w:abstractNumId w:val="4"/>
  </w:num>
  <w:num w:numId="23">
    <w:abstractNumId w:val="27"/>
  </w:num>
  <w:num w:numId="24">
    <w:abstractNumId w:val="7"/>
  </w:num>
  <w:num w:numId="25">
    <w:abstractNumId w:val="1"/>
  </w:num>
  <w:num w:numId="26">
    <w:abstractNumId w:val="24"/>
  </w:num>
  <w:num w:numId="27">
    <w:abstractNumId w:val="10"/>
  </w:num>
  <w:num w:numId="28">
    <w:abstractNumId w:val="25"/>
  </w:num>
  <w:num w:numId="29">
    <w:abstractNumId w:val="20"/>
  </w:num>
  <w:num w:numId="30">
    <w:abstractNumId w:val="9"/>
  </w:num>
  <w:num w:numId="31">
    <w:abstractNumId w:val="16"/>
  </w:num>
  <w:num w:numId="32">
    <w:abstractNumId w:val="0"/>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zMDM1MjcCImMTAyUdpeDU4uLM/DyQAqNaAIvxe5ssAAAA"/>
  </w:docVars>
  <w:rsids>
    <w:rsidRoot w:val="00573007"/>
    <w:rsid w:val="000001F3"/>
    <w:rsid w:val="00004BE1"/>
    <w:rsid w:val="00005923"/>
    <w:rsid w:val="000071D3"/>
    <w:rsid w:val="000104EE"/>
    <w:rsid w:val="00011E77"/>
    <w:rsid w:val="00022C8C"/>
    <w:rsid w:val="00025685"/>
    <w:rsid w:val="00025DA8"/>
    <w:rsid w:val="00032C3B"/>
    <w:rsid w:val="00032D79"/>
    <w:rsid w:val="00035778"/>
    <w:rsid w:val="00041BD1"/>
    <w:rsid w:val="00041DB8"/>
    <w:rsid w:val="0004758E"/>
    <w:rsid w:val="00052915"/>
    <w:rsid w:val="000529FA"/>
    <w:rsid w:val="0005404D"/>
    <w:rsid w:val="0006246C"/>
    <w:rsid w:val="00062AA8"/>
    <w:rsid w:val="00063C2E"/>
    <w:rsid w:val="00066707"/>
    <w:rsid w:val="00066DAA"/>
    <w:rsid w:val="0007421A"/>
    <w:rsid w:val="000756EB"/>
    <w:rsid w:val="00081118"/>
    <w:rsid w:val="00082EF9"/>
    <w:rsid w:val="000845A0"/>
    <w:rsid w:val="00085AE2"/>
    <w:rsid w:val="00085B39"/>
    <w:rsid w:val="00086888"/>
    <w:rsid w:val="00087FFC"/>
    <w:rsid w:val="00093DA1"/>
    <w:rsid w:val="00094657"/>
    <w:rsid w:val="0009540E"/>
    <w:rsid w:val="0009549A"/>
    <w:rsid w:val="0009574C"/>
    <w:rsid w:val="000A0264"/>
    <w:rsid w:val="000A1D79"/>
    <w:rsid w:val="000A6C95"/>
    <w:rsid w:val="000C1988"/>
    <w:rsid w:val="000C4F89"/>
    <w:rsid w:val="000C5197"/>
    <w:rsid w:val="000D378A"/>
    <w:rsid w:val="000D5A4A"/>
    <w:rsid w:val="000D66E3"/>
    <w:rsid w:val="000D66EF"/>
    <w:rsid w:val="000D7143"/>
    <w:rsid w:val="000E31B9"/>
    <w:rsid w:val="000E33CA"/>
    <w:rsid w:val="000E4296"/>
    <w:rsid w:val="000E6D84"/>
    <w:rsid w:val="000F1A0B"/>
    <w:rsid w:val="000F2384"/>
    <w:rsid w:val="000F488D"/>
    <w:rsid w:val="000F4F4A"/>
    <w:rsid w:val="000F690A"/>
    <w:rsid w:val="000F7FC0"/>
    <w:rsid w:val="0010228C"/>
    <w:rsid w:val="001023F0"/>
    <w:rsid w:val="001070C5"/>
    <w:rsid w:val="0010734B"/>
    <w:rsid w:val="00111F10"/>
    <w:rsid w:val="00113DF1"/>
    <w:rsid w:val="00115720"/>
    <w:rsid w:val="00115AC8"/>
    <w:rsid w:val="00121FEE"/>
    <w:rsid w:val="00123631"/>
    <w:rsid w:val="0012439B"/>
    <w:rsid w:val="00127637"/>
    <w:rsid w:val="00133BF7"/>
    <w:rsid w:val="00133C18"/>
    <w:rsid w:val="00134D28"/>
    <w:rsid w:val="00135C66"/>
    <w:rsid w:val="00142699"/>
    <w:rsid w:val="00145124"/>
    <w:rsid w:val="00150B72"/>
    <w:rsid w:val="001527EA"/>
    <w:rsid w:val="0015325F"/>
    <w:rsid w:val="0015590B"/>
    <w:rsid w:val="00162006"/>
    <w:rsid w:val="0016218D"/>
    <w:rsid w:val="0016310E"/>
    <w:rsid w:val="001655B4"/>
    <w:rsid w:val="00165F26"/>
    <w:rsid w:val="001728A1"/>
    <w:rsid w:val="00173E36"/>
    <w:rsid w:val="001757C6"/>
    <w:rsid w:val="0018158B"/>
    <w:rsid w:val="00182D0D"/>
    <w:rsid w:val="0018325A"/>
    <w:rsid w:val="001841E9"/>
    <w:rsid w:val="00184DAC"/>
    <w:rsid w:val="001877DF"/>
    <w:rsid w:val="00191114"/>
    <w:rsid w:val="00195050"/>
    <w:rsid w:val="001A3FBF"/>
    <w:rsid w:val="001A5D63"/>
    <w:rsid w:val="001C14A2"/>
    <w:rsid w:val="001C2FEE"/>
    <w:rsid w:val="001D2ABD"/>
    <w:rsid w:val="001D2EEC"/>
    <w:rsid w:val="001D3FE7"/>
    <w:rsid w:val="001D4E60"/>
    <w:rsid w:val="001E2492"/>
    <w:rsid w:val="001E2676"/>
    <w:rsid w:val="001E4FAF"/>
    <w:rsid w:val="001F4733"/>
    <w:rsid w:val="00202ACA"/>
    <w:rsid w:val="0020312C"/>
    <w:rsid w:val="00204441"/>
    <w:rsid w:val="002051C2"/>
    <w:rsid w:val="0021022D"/>
    <w:rsid w:val="002120CF"/>
    <w:rsid w:val="00212F33"/>
    <w:rsid w:val="00215C2F"/>
    <w:rsid w:val="0021639D"/>
    <w:rsid w:val="002178FF"/>
    <w:rsid w:val="002200AE"/>
    <w:rsid w:val="00220155"/>
    <w:rsid w:val="00223034"/>
    <w:rsid w:val="00233288"/>
    <w:rsid w:val="002337FF"/>
    <w:rsid w:val="00236202"/>
    <w:rsid w:val="00237C54"/>
    <w:rsid w:val="00237E66"/>
    <w:rsid w:val="0024247F"/>
    <w:rsid w:val="00246F3F"/>
    <w:rsid w:val="00250FCB"/>
    <w:rsid w:val="00260265"/>
    <w:rsid w:val="002645BC"/>
    <w:rsid w:val="00265786"/>
    <w:rsid w:val="00270E62"/>
    <w:rsid w:val="00275F98"/>
    <w:rsid w:val="0027638B"/>
    <w:rsid w:val="00281CCF"/>
    <w:rsid w:val="00282AEC"/>
    <w:rsid w:val="00283AD1"/>
    <w:rsid w:val="00297389"/>
    <w:rsid w:val="002A4697"/>
    <w:rsid w:val="002A642A"/>
    <w:rsid w:val="002A775D"/>
    <w:rsid w:val="002B05EF"/>
    <w:rsid w:val="002B1D21"/>
    <w:rsid w:val="002B443C"/>
    <w:rsid w:val="002B5C68"/>
    <w:rsid w:val="002C1B12"/>
    <w:rsid w:val="002C3563"/>
    <w:rsid w:val="002C40A5"/>
    <w:rsid w:val="002C49FC"/>
    <w:rsid w:val="002C6E20"/>
    <w:rsid w:val="002C72F9"/>
    <w:rsid w:val="002D1F1A"/>
    <w:rsid w:val="002D5A7B"/>
    <w:rsid w:val="002D6277"/>
    <w:rsid w:val="002E224F"/>
    <w:rsid w:val="002E3E2D"/>
    <w:rsid w:val="002E4B4E"/>
    <w:rsid w:val="002F02ED"/>
    <w:rsid w:val="002F08F5"/>
    <w:rsid w:val="002F0ABC"/>
    <w:rsid w:val="002F1193"/>
    <w:rsid w:val="002F3987"/>
    <w:rsid w:val="002F3D71"/>
    <w:rsid w:val="002F6FB0"/>
    <w:rsid w:val="003027F9"/>
    <w:rsid w:val="0030426A"/>
    <w:rsid w:val="0030565A"/>
    <w:rsid w:val="0030575A"/>
    <w:rsid w:val="0030602B"/>
    <w:rsid w:val="0031146D"/>
    <w:rsid w:val="00311619"/>
    <w:rsid w:val="00315F9E"/>
    <w:rsid w:val="003168D4"/>
    <w:rsid w:val="00316B25"/>
    <w:rsid w:val="003172CA"/>
    <w:rsid w:val="00325B6D"/>
    <w:rsid w:val="003264D3"/>
    <w:rsid w:val="0032667E"/>
    <w:rsid w:val="00326E32"/>
    <w:rsid w:val="00331EA3"/>
    <w:rsid w:val="003342BC"/>
    <w:rsid w:val="00343066"/>
    <w:rsid w:val="003444E1"/>
    <w:rsid w:val="00346CB1"/>
    <w:rsid w:val="00347182"/>
    <w:rsid w:val="00350CD6"/>
    <w:rsid w:val="00350EED"/>
    <w:rsid w:val="0035758D"/>
    <w:rsid w:val="00363C75"/>
    <w:rsid w:val="00365034"/>
    <w:rsid w:val="003766C5"/>
    <w:rsid w:val="0037730F"/>
    <w:rsid w:val="00382C75"/>
    <w:rsid w:val="00384336"/>
    <w:rsid w:val="00390D29"/>
    <w:rsid w:val="00390F0E"/>
    <w:rsid w:val="00393EE7"/>
    <w:rsid w:val="00397D41"/>
    <w:rsid w:val="003A0463"/>
    <w:rsid w:val="003A1A8E"/>
    <w:rsid w:val="003A24D0"/>
    <w:rsid w:val="003A52DD"/>
    <w:rsid w:val="003A60E9"/>
    <w:rsid w:val="003A6E60"/>
    <w:rsid w:val="003A75F4"/>
    <w:rsid w:val="003A7C0F"/>
    <w:rsid w:val="003B358D"/>
    <w:rsid w:val="003B6147"/>
    <w:rsid w:val="003C0418"/>
    <w:rsid w:val="003C0D3E"/>
    <w:rsid w:val="003C3ADA"/>
    <w:rsid w:val="003C4B1F"/>
    <w:rsid w:val="003D00F4"/>
    <w:rsid w:val="003D4416"/>
    <w:rsid w:val="003D55F0"/>
    <w:rsid w:val="003E1D91"/>
    <w:rsid w:val="003E387B"/>
    <w:rsid w:val="003E6C8E"/>
    <w:rsid w:val="003E78E6"/>
    <w:rsid w:val="003F38EF"/>
    <w:rsid w:val="003F5228"/>
    <w:rsid w:val="003F5A96"/>
    <w:rsid w:val="003F63B1"/>
    <w:rsid w:val="003F7678"/>
    <w:rsid w:val="003F7DA1"/>
    <w:rsid w:val="00400584"/>
    <w:rsid w:val="00402378"/>
    <w:rsid w:val="004035F1"/>
    <w:rsid w:val="004036CC"/>
    <w:rsid w:val="00407FE9"/>
    <w:rsid w:val="00411456"/>
    <w:rsid w:val="00416A73"/>
    <w:rsid w:val="00420CD6"/>
    <w:rsid w:val="00420EC5"/>
    <w:rsid w:val="00421593"/>
    <w:rsid w:val="0042192E"/>
    <w:rsid w:val="0042267B"/>
    <w:rsid w:val="004309AF"/>
    <w:rsid w:val="0043225C"/>
    <w:rsid w:val="00434518"/>
    <w:rsid w:val="00440DAF"/>
    <w:rsid w:val="00441052"/>
    <w:rsid w:val="004462D9"/>
    <w:rsid w:val="0045129A"/>
    <w:rsid w:val="0045446E"/>
    <w:rsid w:val="00455F5D"/>
    <w:rsid w:val="00456601"/>
    <w:rsid w:val="004604F3"/>
    <w:rsid w:val="00460D80"/>
    <w:rsid w:val="004677AC"/>
    <w:rsid w:val="0047009F"/>
    <w:rsid w:val="004717EB"/>
    <w:rsid w:val="00471DD8"/>
    <w:rsid w:val="004724C9"/>
    <w:rsid w:val="00472706"/>
    <w:rsid w:val="00472DB2"/>
    <w:rsid w:val="00475DB1"/>
    <w:rsid w:val="00480591"/>
    <w:rsid w:val="004834DF"/>
    <w:rsid w:val="00483887"/>
    <w:rsid w:val="004845C4"/>
    <w:rsid w:val="004847FA"/>
    <w:rsid w:val="00491C2B"/>
    <w:rsid w:val="00497D5B"/>
    <w:rsid w:val="004A0DAB"/>
    <w:rsid w:val="004A1056"/>
    <w:rsid w:val="004A4A7C"/>
    <w:rsid w:val="004A5076"/>
    <w:rsid w:val="004B400D"/>
    <w:rsid w:val="004B53A7"/>
    <w:rsid w:val="004C49DD"/>
    <w:rsid w:val="004C7B21"/>
    <w:rsid w:val="004C7DAF"/>
    <w:rsid w:val="004C7ED8"/>
    <w:rsid w:val="004D24B8"/>
    <w:rsid w:val="004D296E"/>
    <w:rsid w:val="004E53DE"/>
    <w:rsid w:val="004F2FEC"/>
    <w:rsid w:val="004F5903"/>
    <w:rsid w:val="004F6D20"/>
    <w:rsid w:val="0050045F"/>
    <w:rsid w:val="0050301D"/>
    <w:rsid w:val="00503FDF"/>
    <w:rsid w:val="0050422F"/>
    <w:rsid w:val="005074D6"/>
    <w:rsid w:val="00510DD3"/>
    <w:rsid w:val="00515129"/>
    <w:rsid w:val="00516468"/>
    <w:rsid w:val="00520178"/>
    <w:rsid w:val="00521CDF"/>
    <w:rsid w:val="0053355E"/>
    <w:rsid w:val="005423F2"/>
    <w:rsid w:val="00542670"/>
    <w:rsid w:val="00545472"/>
    <w:rsid w:val="00547107"/>
    <w:rsid w:val="005538EA"/>
    <w:rsid w:val="005550D7"/>
    <w:rsid w:val="00561A26"/>
    <w:rsid w:val="00562AE6"/>
    <w:rsid w:val="00562B90"/>
    <w:rsid w:val="00563E13"/>
    <w:rsid w:val="00567D11"/>
    <w:rsid w:val="00567DC6"/>
    <w:rsid w:val="00573007"/>
    <w:rsid w:val="0057404B"/>
    <w:rsid w:val="00577FC0"/>
    <w:rsid w:val="00580153"/>
    <w:rsid w:val="005826AF"/>
    <w:rsid w:val="005836C3"/>
    <w:rsid w:val="00583ED0"/>
    <w:rsid w:val="005900A8"/>
    <w:rsid w:val="00590F9D"/>
    <w:rsid w:val="00592E3A"/>
    <w:rsid w:val="00594FC3"/>
    <w:rsid w:val="0059531E"/>
    <w:rsid w:val="005A01E3"/>
    <w:rsid w:val="005A0AB7"/>
    <w:rsid w:val="005A202A"/>
    <w:rsid w:val="005A26B6"/>
    <w:rsid w:val="005A2AFB"/>
    <w:rsid w:val="005A53EB"/>
    <w:rsid w:val="005A7654"/>
    <w:rsid w:val="005B2BCA"/>
    <w:rsid w:val="005B36E0"/>
    <w:rsid w:val="005B39C3"/>
    <w:rsid w:val="005B3CBB"/>
    <w:rsid w:val="005C04E2"/>
    <w:rsid w:val="005C0A06"/>
    <w:rsid w:val="005C19F4"/>
    <w:rsid w:val="005C7A2C"/>
    <w:rsid w:val="005D132F"/>
    <w:rsid w:val="005E099C"/>
    <w:rsid w:val="005E48B3"/>
    <w:rsid w:val="005E5613"/>
    <w:rsid w:val="005E5CAE"/>
    <w:rsid w:val="005E6868"/>
    <w:rsid w:val="005E6BAA"/>
    <w:rsid w:val="005F0065"/>
    <w:rsid w:val="005F0385"/>
    <w:rsid w:val="005F0F06"/>
    <w:rsid w:val="005F454E"/>
    <w:rsid w:val="005F503F"/>
    <w:rsid w:val="005F65F0"/>
    <w:rsid w:val="005F6E96"/>
    <w:rsid w:val="006112A6"/>
    <w:rsid w:val="006179F4"/>
    <w:rsid w:val="00621420"/>
    <w:rsid w:val="00621D9A"/>
    <w:rsid w:val="0063343C"/>
    <w:rsid w:val="006336DB"/>
    <w:rsid w:val="00633B6E"/>
    <w:rsid w:val="0063720E"/>
    <w:rsid w:val="006374E5"/>
    <w:rsid w:val="00641668"/>
    <w:rsid w:val="006446C0"/>
    <w:rsid w:val="00647291"/>
    <w:rsid w:val="00654A46"/>
    <w:rsid w:val="00655AE2"/>
    <w:rsid w:val="00657076"/>
    <w:rsid w:val="006573CC"/>
    <w:rsid w:val="00657D3F"/>
    <w:rsid w:val="0066235C"/>
    <w:rsid w:val="006632F3"/>
    <w:rsid w:val="0066470C"/>
    <w:rsid w:val="0066577B"/>
    <w:rsid w:val="006731CB"/>
    <w:rsid w:val="006815C8"/>
    <w:rsid w:val="00683D6D"/>
    <w:rsid w:val="00684D0A"/>
    <w:rsid w:val="00692A45"/>
    <w:rsid w:val="00693D84"/>
    <w:rsid w:val="006A4B17"/>
    <w:rsid w:val="006A5A24"/>
    <w:rsid w:val="006B060D"/>
    <w:rsid w:val="006B78CA"/>
    <w:rsid w:val="006C787B"/>
    <w:rsid w:val="006D0ADE"/>
    <w:rsid w:val="006D13BF"/>
    <w:rsid w:val="006D219F"/>
    <w:rsid w:val="006E0139"/>
    <w:rsid w:val="006E0536"/>
    <w:rsid w:val="006E07AE"/>
    <w:rsid w:val="006E204C"/>
    <w:rsid w:val="006E567A"/>
    <w:rsid w:val="006F107A"/>
    <w:rsid w:val="006F3EA5"/>
    <w:rsid w:val="006F4012"/>
    <w:rsid w:val="006F415C"/>
    <w:rsid w:val="007050B2"/>
    <w:rsid w:val="00706F3F"/>
    <w:rsid w:val="00712688"/>
    <w:rsid w:val="00714525"/>
    <w:rsid w:val="007174A8"/>
    <w:rsid w:val="00717C2B"/>
    <w:rsid w:val="007207EF"/>
    <w:rsid w:val="00725390"/>
    <w:rsid w:val="007256AF"/>
    <w:rsid w:val="007316C0"/>
    <w:rsid w:val="00736D5D"/>
    <w:rsid w:val="007415BE"/>
    <w:rsid w:val="007449F3"/>
    <w:rsid w:val="007456C3"/>
    <w:rsid w:val="00745C2B"/>
    <w:rsid w:val="00750F80"/>
    <w:rsid w:val="0075100C"/>
    <w:rsid w:val="00751F8A"/>
    <w:rsid w:val="00753FCD"/>
    <w:rsid w:val="007574CB"/>
    <w:rsid w:val="00760500"/>
    <w:rsid w:val="00760C87"/>
    <w:rsid w:val="0076194B"/>
    <w:rsid w:val="00764F7A"/>
    <w:rsid w:val="007702BE"/>
    <w:rsid w:val="00774E7C"/>
    <w:rsid w:val="0077532E"/>
    <w:rsid w:val="00777B2F"/>
    <w:rsid w:val="0078070E"/>
    <w:rsid w:val="00783233"/>
    <w:rsid w:val="00783639"/>
    <w:rsid w:val="00783AA7"/>
    <w:rsid w:val="0078597E"/>
    <w:rsid w:val="00787205"/>
    <w:rsid w:val="00787319"/>
    <w:rsid w:val="00790B83"/>
    <w:rsid w:val="00791C62"/>
    <w:rsid w:val="00792B38"/>
    <w:rsid w:val="007936DD"/>
    <w:rsid w:val="00793CEE"/>
    <w:rsid w:val="0079438E"/>
    <w:rsid w:val="007945F8"/>
    <w:rsid w:val="00794D57"/>
    <w:rsid w:val="007A2018"/>
    <w:rsid w:val="007A28D9"/>
    <w:rsid w:val="007A4C9D"/>
    <w:rsid w:val="007A4F07"/>
    <w:rsid w:val="007A5365"/>
    <w:rsid w:val="007A5435"/>
    <w:rsid w:val="007B250A"/>
    <w:rsid w:val="007B2A0B"/>
    <w:rsid w:val="007B6C9B"/>
    <w:rsid w:val="007B7CBC"/>
    <w:rsid w:val="007C3329"/>
    <w:rsid w:val="007C3B14"/>
    <w:rsid w:val="007C466E"/>
    <w:rsid w:val="007C5873"/>
    <w:rsid w:val="007C6C67"/>
    <w:rsid w:val="007D0BD8"/>
    <w:rsid w:val="007D58A2"/>
    <w:rsid w:val="007E0C77"/>
    <w:rsid w:val="007E2697"/>
    <w:rsid w:val="007E5D99"/>
    <w:rsid w:val="007F5CB2"/>
    <w:rsid w:val="008050FE"/>
    <w:rsid w:val="00805D18"/>
    <w:rsid w:val="0080686D"/>
    <w:rsid w:val="00807C3F"/>
    <w:rsid w:val="008100CE"/>
    <w:rsid w:val="00812662"/>
    <w:rsid w:val="00812BE8"/>
    <w:rsid w:val="00815CCA"/>
    <w:rsid w:val="00816F1C"/>
    <w:rsid w:val="00826FC6"/>
    <w:rsid w:val="00832FC6"/>
    <w:rsid w:val="0083319A"/>
    <w:rsid w:val="00834775"/>
    <w:rsid w:val="0083566C"/>
    <w:rsid w:val="00835FEF"/>
    <w:rsid w:val="00836A00"/>
    <w:rsid w:val="008377DB"/>
    <w:rsid w:val="00841143"/>
    <w:rsid w:val="008478DC"/>
    <w:rsid w:val="00851D87"/>
    <w:rsid w:val="00852292"/>
    <w:rsid w:val="008529C6"/>
    <w:rsid w:val="00855BB5"/>
    <w:rsid w:val="00863CF6"/>
    <w:rsid w:val="00864B21"/>
    <w:rsid w:val="00865C26"/>
    <w:rsid w:val="00865D7D"/>
    <w:rsid w:val="0086742F"/>
    <w:rsid w:val="008733C0"/>
    <w:rsid w:val="00874DA1"/>
    <w:rsid w:val="0087525D"/>
    <w:rsid w:val="00877721"/>
    <w:rsid w:val="008838FE"/>
    <w:rsid w:val="00886E56"/>
    <w:rsid w:val="008872BE"/>
    <w:rsid w:val="008937E3"/>
    <w:rsid w:val="008A0D76"/>
    <w:rsid w:val="008A2618"/>
    <w:rsid w:val="008A4535"/>
    <w:rsid w:val="008B5C13"/>
    <w:rsid w:val="008B6269"/>
    <w:rsid w:val="008B781D"/>
    <w:rsid w:val="008C2377"/>
    <w:rsid w:val="008D2788"/>
    <w:rsid w:val="008D759E"/>
    <w:rsid w:val="008E0CB7"/>
    <w:rsid w:val="008E2424"/>
    <w:rsid w:val="008E3193"/>
    <w:rsid w:val="008E65A8"/>
    <w:rsid w:val="008E6B78"/>
    <w:rsid w:val="008E7D4A"/>
    <w:rsid w:val="008F0A13"/>
    <w:rsid w:val="008F1338"/>
    <w:rsid w:val="008F598C"/>
    <w:rsid w:val="008F6A5A"/>
    <w:rsid w:val="008F7285"/>
    <w:rsid w:val="00906DD0"/>
    <w:rsid w:val="00911481"/>
    <w:rsid w:val="0091167B"/>
    <w:rsid w:val="00911D3E"/>
    <w:rsid w:val="00914433"/>
    <w:rsid w:val="0091548A"/>
    <w:rsid w:val="00916828"/>
    <w:rsid w:val="00916F0F"/>
    <w:rsid w:val="0091793C"/>
    <w:rsid w:val="009217AE"/>
    <w:rsid w:val="00923FC6"/>
    <w:rsid w:val="00924728"/>
    <w:rsid w:val="0093223D"/>
    <w:rsid w:val="00932F51"/>
    <w:rsid w:val="00933401"/>
    <w:rsid w:val="00934537"/>
    <w:rsid w:val="0093464D"/>
    <w:rsid w:val="00935898"/>
    <w:rsid w:val="00935F8F"/>
    <w:rsid w:val="009418AD"/>
    <w:rsid w:val="0094489F"/>
    <w:rsid w:val="009458C0"/>
    <w:rsid w:val="0094687E"/>
    <w:rsid w:val="009478AA"/>
    <w:rsid w:val="0095076F"/>
    <w:rsid w:val="00951BA0"/>
    <w:rsid w:val="0095407F"/>
    <w:rsid w:val="00957172"/>
    <w:rsid w:val="009571CB"/>
    <w:rsid w:val="00961B1C"/>
    <w:rsid w:val="0096533B"/>
    <w:rsid w:val="00970565"/>
    <w:rsid w:val="00971C2C"/>
    <w:rsid w:val="009722BC"/>
    <w:rsid w:val="00972398"/>
    <w:rsid w:val="00972A01"/>
    <w:rsid w:val="00972A8F"/>
    <w:rsid w:val="00986320"/>
    <w:rsid w:val="009901FF"/>
    <w:rsid w:val="00990E5C"/>
    <w:rsid w:val="009927B3"/>
    <w:rsid w:val="00994CC2"/>
    <w:rsid w:val="00997408"/>
    <w:rsid w:val="009A1CC4"/>
    <w:rsid w:val="009A3954"/>
    <w:rsid w:val="009A53A6"/>
    <w:rsid w:val="009A667D"/>
    <w:rsid w:val="009A765A"/>
    <w:rsid w:val="009B7EA9"/>
    <w:rsid w:val="009C0696"/>
    <w:rsid w:val="009C094F"/>
    <w:rsid w:val="009C15F7"/>
    <w:rsid w:val="009C5E2D"/>
    <w:rsid w:val="009C68E0"/>
    <w:rsid w:val="009D0AD7"/>
    <w:rsid w:val="009D1CE0"/>
    <w:rsid w:val="009D4950"/>
    <w:rsid w:val="009D51E0"/>
    <w:rsid w:val="009D7483"/>
    <w:rsid w:val="009E19F8"/>
    <w:rsid w:val="009E2564"/>
    <w:rsid w:val="009E3839"/>
    <w:rsid w:val="009E67D0"/>
    <w:rsid w:val="009E71B8"/>
    <w:rsid w:val="009E77D2"/>
    <w:rsid w:val="009E7F8E"/>
    <w:rsid w:val="009F0E28"/>
    <w:rsid w:val="009F243F"/>
    <w:rsid w:val="009F3657"/>
    <w:rsid w:val="009F4774"/>
    <w:rsid w:val="009F65E8"/>
    <w:rsid w:val="009F699D"/>
    <w:rsid w:val="00A050EF"/>
    <w:rsid w:val="00A11D2A"/>
    <w:rsid w:val="00A13AC3"/>
    <w:rsid w:val="00A14859"/>
    <w:rsid w:val="00A15DE6"/>
    <w:rsid w:val="00A22286"/>
    <w:rsid w:val="00A25BB8"/>
    <w:rsid w:val="00A30499"/>
    <w:rsid w:val="00A31368"/>
    <w:rsid w:val="00A3165F"/>
    <w:rsid w:val="00A320BA"/>
    <w:rsid w:val="00A34E11"/>
    <w:rsid w:val="00A36DAA"/>
    <w:rsid w:val="00A373E3"/>
    <w:rsid w:val="00A42C70"/>
    <w:rsid w:val="00A43DAE"/>
    <w:rsid w:val="00A45AA5"/>
    <w:rsid w:val="00A46EA8"/>
    <w:rsid w:val="00A500F3"/>
    <w:rsid w:val="00A50249"/>
    <w:rsid w:val="00A52800"/>
    <w:rsid w:val="00A536B0"/>
    <w:rsid w:val="00A56190"/>
    <w:rsid w:val="00A569BB"/>
    <w:rsid w:val="00A60C33"/>
    <w:rsid w:val="00A62B23"/>
    <w:rsid w:val="00A62E4E"/>
    <w:rsid w:val="00A62FFF"/>
    <w:rsid w:val="00A66B8B"/>
    <w:rsid w:val="00A677ED"/>
    <w:rsid w:val="00A70615"/>
    <w:rsid w:val="00A72592"/>
    <w:rsid w:val="00A742AF"/>
    <w:rsid w:val="00A75C07"/>
    <w:rsid w:val="00A8000F"/>
    <w:rsid w:val="00A825BE"/>
    <w:rsid w:val="00A84BCB"/>
    <w:rsid w:val="00A87B26"/>
    <w:rsid w:val="00A9398E"/>
    <w:rsid w:val="00A94419"/>
    <w:rsid w:val="00A96F05"/>
    <w:rsid w:val="00AA0174"/>
    <w:rsid w:val="00AA217B"/>
    <w:rsid w:val="00AA2C43"/>
    <w:rsid w:val="00AA33CC"/>
    <w:rsid w:val="00AA5896"/>
    <w:rsid w:val="00AA5EA0"/>
    <w:rsid w:val="00AB0DC0"/>
    <w:rsid w:val="00AB6476"/>
    <w:rsid w:val="00AC0CA9"/>
    <w:rsid w:val="00AC3055"/>
    <w:rsid w:val="00AC51D8"/>
    <w:rsid w:val="00AC6842"/>
    <w:rsid w:val="00AD3946"/>
    <w:rsid w:val="00AD4825"/>
    <w:rsid w:val="00AD659A"/>
    <w:rsid w:val="00AE095F"/>
    <w:rsid w:val="00AE3240"/>
    <w:rsid w:val="00AE4038"/>
    <w:rsid w:val="00AF353A"/>
    <w:rsid w:val="00AF60E3"/>
    <w:rsid w:val="00AF6EA5"/>
    <w:rsid w:val="00B001C5"/>
    <w:rsid w:val="00B03421"/>
    <w:rsid w:val="00B04955"/>
    <w:rsid w:val="00B059A8"/>
    <w:rsid w:val="00B05D0D"/>
    <w:rsid w:val="00B07A2C"/>
    <w:rsid w:val="00B10F69"/>
    <w:rsid w:val="00B136AA"/>
    <w:rsid w:val="00B14FF9"/>
    <w:rsid w:val="00B226AA"/>
    <w:rsid w:val="00B22EBC"/>
    <w:rsid w:val="00B22ED5"/>
    <w:rsid w:val="00B25AD8"/>
    <w:rsid w:val="00B26F10"/>
    <w:rsid w:val="00B341E6"/>
    <w:rsid w:val="00B44FAD"/>
    <w:rsid w:val="00B47FA8"/>
    <w:rsid w:val="00B519ED"/>
    <w:rsid w:val="00B540D1"/>
    <w:rsid w:val="00B55150"/>
    <w:rsid w:val="00B5579A"/>
    <w:rsid w:val="00B55F05"/>
    <w:rsid w:val="00B5649B"/>
    <w:rsid w:val="00B5685A"/>
    <w:rsid w:val="00B60833"/>
    <w:rsid w:val="00B60AEE"/>
    <w:rsid w:val="00B60CBA"/>
    <w:rsid w:val="00B73CE4"/>
    <w:rsid w:val="00B750EF"/>
    <w:rsid w:val="00B82CE2"/>
    <w:rsid w:val="00B85B5C"/>
    <w:rsid w:val="00B85C90"/>
    <w:rsid w:val="00B87BC1"/>
    <w:rsid w:val="00B91934"/>
    <w:rsid w:val="00B9497A"/>
    <w:rsid w:val="00B97BF3"/>
    <w:rsid w:val="00BA3CFE"/>
    <w:rsid w:val="00BA7B92"/>
    <w:rsid w:val="00BB1C17"/>
    <w:rsid w:val="00BB712E"/>
    <w:rsid w:val="00BC17EB"/>
    <w:rsid w:val="00BC2C0B"/>
    <w:rsid w:val="00BD031D"/>
    <w:rsid w:val="00BD2CDA"/>
    <w:rsid w:val="00BD31E8"/>
    <w:rsid w:val="00BD3B3C"/>
    <w:rsid w:val="00BD7BAE"/>
    <w:rsid w:val="00BE0377"/>
    <w:rsid w:val="00BE062D"/>
    <w:rsid w:val="00BE1073"/>
    <w:rsid w:val="00BE3C5A"/>
    <w:rsid w:val="00BE633E"/>
    <w:rsid w:val="00BF19B0"/>
    <w:rsid w:val="00BF49E5"/>
    <w:rsid w:val="00C0073E"/>
    <w:rsid w:val="00C01689"/>
    <w:rsid w:val="00C02E08"/>
    <w:rsid w:val="00C02F4F"/>
    <w:rsid w:val="00C02F56"/>
    <w:rsid w:val="00C0328F"/>
    <w:rsid w:val="00C04914"/>
    <w:rsid w:val="00C04C89"/>
    <w:rsid w:val="00C0538B"/>
    <w:rsid w:val="00C17F4B"/>
    <w:rsid w:val="00C21EC2"/>
    <w:rsid w:val="00C30E99"/>
    <w:rsid w:val="00C32822"/>
    <w:rsid w:val="00C34DF9"/>
    <w:rsid w:val="00C36398"/>
    <w:rsid w:val="00C37C73"/>
    <w:rsid w:val="00C442AC"/>
    <w:rsid w:val="00C46417"/>
    <w:rsid w:val="00C46AD7"/>
    <w:rsid w:val="00C520A6"/>
    <w:rsid w:val="00C524FF"/>
    <w:rsid w:val="00C545DA"/>
    <w:rsid w:val="00C60510"/>
    <w:rsid w:val="00C6124B"/>
    <w:rsid w:val="00C64769"/>
    <w:rsid w:val="00C66331"/>
    <w:rsid w:val="00C76217"/>
    <w:rsid w:val="00C8136A"/>
    <w:rsid w:val="00C86420"/>
    <w:rsid w:val="00C94ACE"/>
    <w:rsid w:val="00C95251"/>
    <w:rsid w:val="00CA032F"/>
    <w:rsid w:val="00CA0C13"/>
    <w:rsid w:val="00CA1E9A"/>
    <w:rsid w:val="00CA26BD"/>
    <w:rsid w:val="00CA272C"/>
    <w:rsid w:val="00CB3EA5"/>
    <w:rsid w:val="00CB4398"/>
    <w:rsid w:val="00CC0278"/>
    <w:rsid w:val="00CC0DAB"/>
    <w:rsid w:val="00CC15CC"/>
    <w:rsid w:val="00CC6AC3"/>
    <w:rsid w:val="00CC6EA1"/>
    <w:rsid w:val="00CC7F35"/>
    <w:rsid w:val="00CC7FCF"/>
    <w:rsid w:val="00CD2245"/>
    <w:rsid w:val="00CD658A"/>
    <w:rsid w:val="00CD67CA"/>
    <w:rsid w:val="00CD77AF"/>
    <w:rsid w:val="00CE587C"/>
    <w:rsid w:val="00CF1AA8"/>
    <w:rsid w:val="00CF3C74"/>
    <w:rsid w:val="00CF50E2"/>
    <w:rsid w:val="00CF67B1"/>
    <w:rsid w:val="00CF6B4E"/>
    <w:rsid w:val="00D01B13"/>
    <w:rsid w:val="00D041E7"/>
    <w:rsid w:val="00D063A6"/>
    <w:rsid w:val="00D11B20"/>
    <w:rsid w:val="00D134F8"/>
    <w:rsid w:val="00D14391"/>
    <w:rsid w:val="00D17152"/>
    <w:rsid w:val="00D20092"/>
    <w:rsid w:val="00D206D9"/>
    <w:rsid w:val="00D209D9"/>
    <w:rsid w:val="00D20A7F"/>
    <w:rsid w:val="00D23823"/>
    <w:rsid w:val="00D266C9"/>
    <w:rsid w:val="00D274F6"/>
    <w:rsid w:val="00D2787C"/>
    <w:rsid w:val="00D3775F"/>
    <w:rsid w:val="00D416B1"/>
    <w:rsid w:val="00D42058"/>
    <w:rsid w:val="00D6032E"/>
    <w:rsid w:val="00D60770"/>
    <w:rsid w:val="00D61DB7"/>
    <w:rsid w:val="00D63DFC"/>
    <w:rsid w:val="00D64F4E"/>
    <w:rsid w:val="00D70F92"/>
    <w:rsid w:val="00D8110E"/>
    <w:rsid w:val="00D83AFD"/>
    <w:rsid w:val="00D8596C"/>
    <w:rsid w:val="00D87302"/>
    <w:rsid w:val="00D94AE3"/>
    <w:rsid w:val="00DA68D1"/>
    <w:rsid w:val="00DA6CAB"/>
    <w:rsid w:val="00DB040E"/>
    <w:rsid w:val="00DB1306"/>
    <w:rsid w:val="00DB1427"/>
    <w:rsid w:val="00DB2CA1"/>
    <w:rsid w:val="00DB5B70"/>
    <w:rsid w:val="00DC0698"/>
    <w:rsid w:val="00DC6D12"/>
    <w:rsid w:val="00DD5C0A"/>
    <w:rsid w:val="00DD7FC8"/>
    <w:rsid w:val="00DE1F69"/>
    <w:rsid w:val="00DE63D1"/>
    <w:rsid w:val="00DF09D9"/>
    <w:rsid w:val="00DF0D1B"/>
    <w:rsid w:val="00DF1E37"/>
    <w:rsid w:val="00DF4B44"/>
    <w:rsid w:val="00DF7E6B"/>
    <w:rsid w:val="00E00B68"/>
    <w:rsid w:val="00E01CE0"/>
    <w:rsid w:val="00E06ECA"/>
    <w:rsid w:val="00E074F5"/>
    <w:rsid w:val="00E21C28"/>
    <w:rsid w:val="00E25CF4"/>
    <w:rsid w:val="00E266BA"/>
    <w:rsid w:val="00E26A69"/>
    <w:rsid w:val="00E34E80"/>
    <w:rsid w:val="00E3694C"/>
    <w:rsid w:val="00E44AA4"/>
    <w:rsid w:val="00E44BF2"/>
    <w:rsid w:val="00E452F2"/>
    <w:rsid w:val="00E464C8"/>
    <w:rsid w:val="00E46B2C"/>
    <w:rsid w:val="00E53298"/>
    <w:rsid w:val="00E54E7A"/>
    <w:rsid w:val="00E555D2"/>
    <w:rsid w:val="00E56D2E"/>
    <w:rsid w:val="00E57432"/>
    <w:rsid w:val="00E613A7"/>
    <w:rsid w:val="00E63AEE"/>
    <w:rsid w:val="00E7006F"/>
    <w:rsid w:val="00E702FC"/>
    <w:rsid w:val="00E70BD0"/>
    <w:rsid w:val="00E741CE"/>
    <w:rsid w:val="00E80CF7"/>
    <w:rsid w:val="00E85A27"/>
    <w:rsid w:val="00E870C5"/>
    <w:rsid w:val="00E91D21"/>
    <w:rsid w:val="00E91DBC"/>
    <w:rsid w:val="00E928B7"/>
    <w:rsid w:val="00E948A0"/>
    <w:rsid w:val="00E975C4"/>
    <w:rsid w:val="00EA04A2"/>
    <w:rsid w:val="00EA095B"/>
    <w:rsid w:val="00EA445D"/>
    <w:rsid w:val="00EA491A"/>
    <w:rsid w:val="00EA6A6E"/>
    <w:rsid w:val="00EB1777"/>
    <w:rsid w:val="00EB2060"/>
    <w:rsid w:val="00EB2BCB"/>
    <w:rsid w:val="00EB3189"/>
    <w:rsid w:val="00EB5489"/>
    <w:rsid w:val="00EB6DB5"/>
    <w:rsid w:val="00EC28FD"/>
    <w:rsid w:val="00EC35D0"/>
    <w:rsid w:val="00ED6E9B"/>
    <w:rsid w:val="00EE1967"/>
    <w:rsid w:val="00EF027D"/>
    <w:rsid w:val="00EF0DB8"/>
    <w:rsid w:val="00EF33BA"/>
    <w:rsid w:val="00EF6087"/>
    <w:rsid w:val="00F0296C"/>
    <w:rsid w:val="00F03113"/>
    <w:rsid w:val="00F04217"/>
    <w:rsid w:val="00F079C2"/>
    <w:rsid w:val="00F07BE8"/>
    <w:rsid w:val="00F128E6"/>
    <w:rsid w:val="00F20E16"/>
    <w:rsid w:val="00F23FE3"/>
    <w:rsid w:val="00F24691"/>
    <w:rsid w:val="00F26488"/>
    <w:rsid w:val="00F368B4"/>
    <w:rsid w:val="00F36907"/>
    <w:rsid w:val="00F41DC6"/>
    <w:rsid w:val="00F45869"/>
    <w:rsid w:val="00F4711A"/>
    <w:rsid w:val="00F476FA"/>
    <w:rsid w:val="00F5742C"/>
    <w:rsid w:val="00F60089"/>
    <w:rsid w:val="00F61158"/>
    <w:rsid w:val="00F61BA6"/>
    <w:rsid w:val="00F62D78"/>
    <w:rsid w:val="00F63AD3"/>
    <w:rsid w:val="00F658F4"/>
    <w:rsid w:val="00F6722F"/>
    <w:rsid w:val="00F70861"/>
    <w:rsid w:val="00F71CE4"/>
    <w:rsid w:val="00F816D1"/>
    <w:rsid w:val="00F8373D"/>
    <w:rsid w:val="00F83D40"/>
    <w:rsid w:val="00F8428F"/>
    <w:rsid w:val="00F84322"/>
    <w:rsid w:val="00F86956"/>
    <w:rsid w:val="00F9054B"/>
    <w:rsid w:val="00F90F72"/>
    <w:rsid w:val="00F9113B"/>
    <w:rsid w:val="00F91AA0"/>
    <w:rsid w:val="00F937EA"/>
    <w:rsid w:val="00F94F73"/>
    <w:rsid w:val="00F956FD"/>
    <w:rsid w:val="00FA6198"/>
    <w:rsid w:val="00FA6791"/>
    <w:rsid w:val="00FB0899"/>
    <w:rsid w:val="00FB1B43"/>
    <w:rsid w:val="00FB1CE0"/>
    <w:rsid w:val="00FB58EA"/>
    <w:rsid w:val="00FB7984"/>
    <w:rsid w:val="00FC277E"/>
    <w:rsid w:val="00FC281D"/>
    <w:rsid w:val="00FC2E59"/>
    <w:rsid w:val="00FC350C"/>
    <w:rsid w:val="00FC5542"/>
    <w:rsid w:val="00FC6E14"/>
    <w:rsid w:val="00FC7F4D"/>
    <w:rsid w:val="00FD11CF"/>
    <w:rsid w:val="00FD2CCF"/>
    <w:rsid w:val="00FD456B"/>
    <w:rsid w:val="00FD7C38"/>
    <w:rsid w:val="00FD7CF3"/>
    <w:rsid w:val="00FE0BA9"/>
    <w:rsid w:val="00FE0DEF"/>
    <w:rsid w:val="00FE1039"/>
    <w:rsid w:val="00FE3D87"/>
    <w:rsid w:val="00FE6B11"/>
    <w:rsid w:val="00FE6F33"/>
    <w:rsid w:val="00FF0826"/>
    <w:rsid w:val="00FF19B4"/>
    <w:rsid w:val="00FF6634"/>
    <w:rsid w:val="00FF6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LİSTE PARAF,KODLAMA,ALT BAŞLIK,Liste Paragraf 1,Liste Paragraf1"/>
    <w:basedOn w:val="Normal"/>
    <w:link w:val="ListeParagrafChar"/>
    <w:uiPriority w:val="34"/>
    <w:qFormat/>
    <w:rsid w:val="00C36398"/>
    <w:pPr>
      <w:ind w:left="720"/>
      <w:contextualSpacing/>
    </w:pPr>
  </w:style>
  <w:style w:type="table" w:styleId="OrtaKlavuz3-Vurgu1">
    <w:name w:val="Medium Grid 3 Accent 1"/>
    <w:basedOn w:val="NormalTablo"/>
    <w:uiPriority w:val="69"/>
    <w:rsid w:val="007B7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onMetni">
    <w:name w:val="Balloon Text"/>
    <w:basedOn w:val="Normal"/>
    <w:link w:val="BalonMetniChar"/>
    <w:uiPriority w:val="99"/>
    <w:semiHidden/>
    <w:unhideWhenUsed/>
    <w:rsid w:val="00D420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2058"/>
    <w:rPr>
      <w:rFonts w:ascii="Tahoma" w:hAnsi="Tahoma" w:cs="Tahoma"/>
      <w:sz w:val="16"/>
      <w:szCs w:val="16"/>
    </w:r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09540E"/>
  </w:style>
  <w:style w:type="table" w:styleId="TabloKlavuzu">
    <w:name w:val="Table Grid"/>
    <w:basedOn w:val="NormalTablo"/>
    <w:rsid w:val="00F94F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524FF"/>
    <w:rPr>
      <w:color w:val="0000FF" w:themeColor="hyperlink"/>
      <w:u w:val="single"/>
    </w:rPr>
  </w:style>
  <w:style w:type="paragraph" w:customStyle="1" w:styleId="Default">
    <w:name w:val="Default"/>
    <w:rsid w:val="00590F9D"/>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52017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0178"/>
  </w:style>
  <w:style w:type="paragraph" w:styleId="Altbilgi">
    <w:name w:val="footer"/>
    <w:basedOn w:val="Normal"/>
    <w:link w:val="AltbilgiChar"/>
    <w:uiPriority w:val="99"/>
    <w:unhideWhenUsed/>
    <w:rsid w:val="005201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LİSTE PARAF,KODLAMA,ALT BAŞLIK,Liste Paragraf 1,Liste Paragraf1"/>
    <w:basedOn w:val="Normal"/>
    <w:link w:val="ListeParagrafChar"/>
    <w:uiPriority w:val="34"/>
    <w:qFormat/>
    <w:rsid w:val="00C36398"/>
    <w:pPr>
      <w:ind w:left="720"/>
      <w:contextualSpacing/>
    </w:pPr>
  </w:style>
  <w:style w:type="table" w:styleId="OrtaKlavuz3-Vurgu1">
    <w:name w:val="Medium Grid 3 Accent 1"/>
    <w:basedOn w:val="NormalTablo"/>
    <w:uiPriority w:val="69"/>
    <w:rsid w:val="007B7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onMetni">
    <w:name w:val="Balloon Text"/>
    <w:basedOn w:val="Normal"/>
    <w:link w:val="BalonMetniChar"/>
    <w:uiPriority w:val="99"/>
    <w:semiHidden/>
    <w:unhideWhenUsed/>
    <w:rsid w:val="00D420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2058"/>
    <w:rPr>
      <w:rFonts w:ascii="Tahoma" w:hAnsi="Tahoma" w:cs="Tahoma"/>
      <w:sz w:val="16"/>
      <w:szCs w:val="16"/>
    </w:r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09540E"/>
  </w:style>
  <w:style w:type="table" w:styleId="TabloKlavuzu">
    <w:name w:val="Table Grid"/>
    <w:basedOn w:val="NormalTablo"/>
    <w:rsid w:val="00F94F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524FF"/>
    <w:rPr>
      <w:color w:val="0000FF" w:themeColor="hyperlink"/>
      <w:u w:val="single"/>
    </w:rPr>
  </w:style>
  <w:style w:type="paragraph" w:customStyle="1" w:styleId="Default">
    <w:name w:val="Default"/>
    <w:rsid w:val="00590F9D"/>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52017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0178"/>
  </w:style>
  <w:style w:type="paragraph" w:styleId="Altbilgi">
    <w:name w:val="footer"/>
    <w:basedOn w:val="Normal"/>
    <w:link w:val="AltbilgiChar"/>
    <w:uiPriority w:val="99"/>
    <w:unhideWhenUsed/>
    <w:rsid w:val="005201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353944">
      <w:bodyDiv w:val="1"/>
      <w:marLeft w:val="0"/>
      <w:marRight w:val="0"/>
      <w:marTop w:val="0"/>
      <w:marBottom w:val="0"/>
      <w:divBdr>
        <w:top w:val="none" w:sz="0" w:space="0" w:color="auto"/>
        <w:left w:val="none" w:sz="0" w:space="0" w:color="auto"/>
        <w:bottom w:val="none" w:sz="0" w:space="0" w:color="auto"/>
        <w:right w:val="none" w:sz="0" w:space="0" w:color="auto"/>
      </w:divBdr>
    </w:div>
    <w:div w:id="17686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42D3-BE5B-40AD-8768-04720F73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3962</Words>
  <Characters>22585</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Zöhre AK</dc:creator>
  <cp:lastModifiedBy>Kübra ŞEN</cp:lastModifiedBy>
  <cp:revision>3</cp:revision>
  <cp:lastPrinted>2019-10-10T10:37:00Z</cp:lastPrinted>
  <dcterms:created xsi:type="dcterms:W3CDTF">2019-10-10T13:02:00Z</dcterms:created>
  <dcterms:modified xsi:type="dcterms:W3CDTF">2019-10-11T07:18:00Z</dcterms:modified>
</cp:coreProperties>
</file>