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7B" w:rsidRPr="00932F51" w:rsidRDefault="002D5A7B" w:rsidP="00933401">
      <w:pPr>
        <w:tabs>
          <w:tab w:val="left" w:pos="567"/>
          <w:tab w:val="left" w:pos="8280"/>
        </w:tabs>
        <w:spacing w:after="0"/>
        <w:jc w:val="center"/>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ORTA VADELİ MALİ PLAN</w:t>
      </w:r>
    </w:p>
    <w:p w:rsidR="002D5A7B" w:rsidRPr="00CF6B4E" w:rsidRDefault="002D5A7B" w:rsidP="00933401">
      <w:pPr>
        <w:tabs>
          <w:tab w:val="left" w:pos="8280"/>
        </w:tabs>
        <w:spacing w:after="120"/>
        <w:jc w:val="center"/>
        <w:outlineLvl w:val="0"/>
        <w:rPr>
          <w:rFonts w:ascii="Times New Roman" w:eastAsia="Times New Roman" w:hAnsi="Times New Roman" w:cs="Times New Roman"/>
          <w:b/>
          <w:sz w:val="24"/>
          <w:szCs w:val="24"/>
          <w:lang w:eastAsia="tr-TR"/>
        </w:rPr>
      </w:pPr>
      <w:r w:rsidRPr="00CF6B4E">
        <w:rPr>
          <w:rFonts w:ascii="Times New Roman" w:eastAsia="Times New Roman" w:hAnsi="Times New Roman" w:cs="Times New Roman"/>
          <w:b/>
          <w:sz w:val="24"/>
          <w:szCs w:val="24"/>
          <w:lang w:eastAsia="tr-TR"/>
        </w:rPr>
        <w:t>(201</w:t>
      </w:r>
      <w:r w:rsidR="00407FE9" w:rsidRPr="00CF6B4E">
        <w:rPr>
          <w:rFonts w:ascii="Times New Roman" w:eastAsia="Times New Roman" w:hAnsi="Times New Roman" w:cs="Times New Roman"/>
          <w:b/>
          <w:sz w:val="24"/>
          <w:szCs w:val="24"/>
          <w:lang w:eastAsia="tr-TR"/>
        </w:rPr>
        <w:t>8</w:t>
      </w:r>
      <w:r w:rsidRPr="00CF6B4E">
        <w:rPr>
          <w:rFonts w:ascii="Times New Roman" w:eastAsia="Times New Roman" w:hAnsi="Times New Roman" w:cs="Times New Roman"/>
          <w:b/>
          <w:sz w:val="24"/>
          <w:szCs w:val="24"/>
          <w:lang w:eastAsia="tr-TR"/>
        </w:rPr>
        <w:t xml:space="preserve"> - 20</w:t>
      </w:r>
      <w:r w:rsidR="00407FE9" w:rsidRPr="00CF6B4E">
        <w:rPr>
          <w:rFonts w:ascii="Times New Roman" w:eastAsia="Times New Roman" w:hAnsi="Times New Roman" w:cs="Times New Roman"/>
          <w:b/>
          <w:sz w:val="24"/>
          <w:szCs w:val="24"/>
          <w:lang w:eastAsia="tr-TR"/>
        </w:rPr>
        <w:t>20</w:t>
      </w:r>
      <w:r w:rsidRPr="00CF6B4E">
        <w:rPr>
          <w:rFonts w:ascii="Times New Roman" w:eastAsia="Times New Roman" w:hAnsi="Times New Roman" w:cs="Times New Roman"/>
          <w:b/>
          <w:sz w:val="24"/>
          <w:szCs w:val="24"/>
          <w:lang w:eastAsia="tr-TR"/>
        </w:rPr>
        <w:t>)</w:t>
      </w:r>
    </w:p>
    <w:p w:rsidR="002D5A7B" w:rsidRPr="00CC6AC3" w:rsidRDefault="00CC6AC3" w:rsidP="00CC6AC3">
      <w:pPr>
        <w:spacing w:after="120"/>
        <w:jc w:val="both"/>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2D5A7B" w:rsidRPr="00CC6AC3">
        <w:rPr>
          <w:rFonts w:ascii="Times New Roman" w:eastAsia="Times New Roman" w:hAnsi="Times New Roman" w:cs="Times New Roman"/>
          <w:b/>
          <w:sz w:val="24"/>
          <w:szCs w:val="24"/>
          <w:lang w:eastAsia="tr-TR"/>
        </w:rPr>
        <w:t>GİRİŞ</w:t>
      </w:r>
    </w:p>
    <w:p w:rsidR="002D5A7B" w:rsidRDefault="004834DF" w:rsidP="007050B2">
      <w:pPr>
        <w:pStyle w:val="ListeParagraf"/>
        <w:numPr>
          <w:ilvl w:val="0"/>
          <w:numId w:val="22"/>
        </w:numPr>
        <w:tabs>
          <w:tab w:val="left" w:pos="851"/>
        </w:tabs>
        <w:spacing w:before="120" w:after="120"/>
        <w:ind w:left="0" w:firstLine="567"/>
        <w:contextualSpacing w:val="0"/>
        <w:jc w:val="both"/>
        <w:rPr>
          <w:rFonts w:ascii="Times New Roman" w:eastAsia="Times New Roman" w:hAnsi="Times New Roman" w:cs="Times New Roman"/>
          <w:sz w:val="24"/>
          <w:szCs w:val="24"/>
          <w:lang w:eastAsia="tr-TR"/>
        </w:rPr>
      </w:pPr>
      <w:proofErr w:type="gramStart"/>
      <w:r w:rsidRPr="00150B72">
        <w:rPr>
          <w:rFonts w:ascii="Times New Roman" w:eastAsia="Times New Roman" w:hAnsi="Times New Roman" w:cs="Times New Roman"/>
          <w:sz w:val="24"/>
          <w:szCs w:val="24"/>
          <w:lang w:eastAsia="tr-TR"/>
        </w:rPr>
        <w:t>201</w:t>
      </w:r>
      <w:r w:rsidR="00407FE9" w:rsidRPr="00150B72">
        <w:rPr>
          <w:rFonts w:ascii="Times New Roman" w:eastAsia="Times New Roman" w:hAnsi="Times New Roman" w:cs="Times New Roman"/>
          <w:sz w:val="24"/>
          <w:szCs w:val="24"/>
          <w:lang w:eastAsia="tr-TR"/>
        </w:rPr>
        <w:t>8</w:t>
      </w:r>
      <w:r w:rsidRPr="00150B72">
        <w:rPr>
          <w:rFonts w:ascii="Times New Roman" w:eastAsia="Times New Roman" w:hAnsi="Times New Roman" w:cs="Times New Roman"/>
          <w:sz w:val="24"/>
          <w:szCs w:val="24"/>
          <w:lang w:eastAsia="tr-TR"/>
        </w:rPr>
        <w:t>-20</w:t>
      </w:r>
      <w:r w:rsidR="00407FE9" w:rsidRPr="00150B72">
        <w:rPr>
          <w:rFonts w:ascii="Times New Roman" w:eastAsia="Times New Roman" w:hAnsi="Times New Roman" w:cs="Times New Roman"/>
          <w:sz w:val="24"/>
          <w:szCs w:val="24"/>
          <w:lang w:eastAsia="tr-TR"/>
        </w:rPr>
        <w:t>20</w:t>
      </w:r>
      <w:r w:rsidRPr="00150B72">
        <w:rPr>
          <w:rFonts w:ascii="Times New Roman" w:eastAsia="Times New Roman" w:hAnsi="Times New Roman" w:cs="Times New Roman"/>
          <w:sz w:val="24"/>
          <w:szCs w:val="24"/>
          <w:lang w:eastAsia="tr-TR"/>
        </w:rPr>
        <w:t xml:space="preserve"> dönemi Orta Vadeli Mali Planı, Orta Vadeli Programla uyumlu olmak üzere 201</w:t>
      </w:r>
      <w:r w:rsidR="00407FE9" w:rsidRPr="00150B72">
        <w:rPr>
          <w:rFonts w:ascii="Times New Roman" w:eastAsia="Times New Roman" w:hAnsi="Times New Roman" w:cs="Times New Roman"/>
          <w:sz w:val="24"/>
          <w:szCs w:val="24"/>
          <w:lang w:eastAsia="tr-TR"/>
        </w:rPr>
        <w:t>8</w:t>
      </w:r>
      <w:r w:rsidRPr="00150B72">
        <w:rPr>
          <w:rFonts w:ascii="Times New Roman" w:eastAsia="Times New Roman" w:hAnsi="Times New Roman" w:cs="Times New Roman"/>
          <w:sz w:val="24"/>
          <w:szCs w:val="24"/>
          <w:lang w:eastAsia="tr-TR"/>
        </w:rPr>
        <w:t>, 201</w:t>
      </w:r>
      <w:r w:rsidR="00407FE9" w:rsidRPr="00150B72">
        <w:rPr>
          <w:rFonts w:ascii="Times New Roman" w:eastAsia="Times New Roman" w:hAnsi="Times New Roman" w:cs="Times New Roman"/>
          <w:sz w:val="24"/>
          <w:szCs w:val="24"/>
          <w:lang w:eastAsia="tr-TR"/>
        </w:rPr>
        <w:t>9</w:t>
      </w:r>
      <w:r w:rsidR="00041DB8" w:rsidRPr="00150B72">
        <w:rPr>
          <w:rFonts w:ascii="Times New Roman" w:eastAsia="Times New Roman" w:hAnsi="Times New Roman" w:cs="Times New Roman"/>
          <w:sz w:val="24"/>
          <w:szCs w:val="24"/>
          <w:lang w:eastAsia="tr-TR"/>
        </w:rPr>
        <w:t xml:space="preserve"> ve</w:t>
      </w:r>
      <w:r w:rsidRPr="00150B72">
        <w:rPr>
          <w:rFonts w:ascii="Times New Roman" w:eastAsia="Times New Roman" w:hAnsi="Times New Roman" w:cs="Times New Roman"/>
          <w:sz w:val="24"/>
          <w:szCs w:val="24"/>
          <w:lang w:eastAsia="tr-TR"/>
        </w:rPr>
        <w:t xml:space="preserve"> 20</w:t>
      </w:r>
      <w:r w:rsidR="00407FE9" w:rsidRPr="00150B72">
        <w:rPr>
          <w:rFonts w:ascii="Times New Roman" w:eastAsia="Times New Roman" w:hAnsi="Times New Roman" w:cs="Times New Roman"/>
          <w:sz w:val="24"/>
          <w:szCs w:val="24"/>
          <w:lang w:eastAsia="tr-TR"/>
        </w:rPr>
        <w:t>20</w:t>
      </w:r>
      <w:r w:rsidRPr="00150B72">
        <w:rPr>
          <w:rFonts w:ascii="Times New Roman" w:eastAsia="Times New Roman" w:hAnsi="Times New Roman" w:cs="Times New Roman"/>
          <w:sz w:val="24"/>
          <w:szCs w:val="24"/>
          <w:lang w:eastAsia="tr-TR"/>
        </w:rPr>
        <w:t xml:space="preserve"> yıllarına ilişkin merkezi yönetim bütçesi toplam gelir ve gider tahminleriyle birlikte hedef açık ve borçlanma durumu ile kamu idarelerinin ödenek teklif tavanlarını içerecek şekilde Maliye Bakanlığı tarafından hazırlanarak Yüksek Planlama Kurulu tarafından karara bağlanmıştır.</w:t>
      </w:r>
      <w:proofErr w:type="gramEnd"/>
    </w:p>
    <w:p w:rsidR="001877DF" w:rsidRPr="006731CB" w:rsidRDefault="00792B38" w:rsidP="00483887">
      <w:pPr>
        <w:pStyle w:val="ListeParagraf"/>
        <w:numPr>
          <w:ilvl w:val="0"/>
          <w:numId w:val="22"/>
        </w:numPr>
        <w:tabs>
          <w:tab w:val="left" w:pos="851"/>
        </w:tabs>
        <w:spacing w:before="120" w:after="0"/>
        <w:ind w:left="0" w:firstLine="567"/>
        <w:contextualSpacing w:val="0"/>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2018-2020 döneminde ekonomi politikasının temel amacı, makroekonomik istikrarı korumak, mali disiplini sürdürmek, cari dengeyi iyileştirmek, enflasyonu düşürmek, büyümeyi hızlandırmak</w:t>
      </w:r>
      <w:r w:rsidR="007050B2" w:rsidRPr="006731CB">
        <w:rPr>
          <w:rFonts w:ascii="Times New Roman" w:eastAsia="Times New Roman" w:hAnsi="Times New Roman" w:cs="Times New Roman"/>
          <w:sz w:val="24"/>
          <w:szCs w:val="24"/>
          <w:lang w:eastAsia="tr-TR"/>
        </w:rPr>
        <w:t xml:space="preserve">, </w:t>
      </w:r>
      <w:r w:rsidRPr="006731CB">
        <w:rPr>
          <w:rFonts w:ascii="Times New Roman" w:eastAsia="Times New Roman" w:hAnsi="Times New Roman" w:cs="Times New Roman"/>
          <w:sz w:val="24"/>
          <w:szCs w:val="24"/>
          <w:lang w:eastAsia="tr-TR"/>
        </w:rPr>
        <w:t>istihdamı artırmak</w:t>
      </w:r>
      <w:r w:rsidR="008F7285" w:rsidRPr="006731CB">
        <w:rPr>
          <w:rFonts w:ascii="Times New Roman" w:eastAsia="Times New Roman" w:hAnsi="Times New Roman" w:cs="Times New Roman"/>
          <w:sz w:val="24"/>
          <w:szCs w:val="24"/>
          <w:lang w:eastAsia="tr-TR"/>
        </w:rPr>
        <w:t xml:space="preserve"> ve </w:t>
      </w:r>
      <w:r w:rsidRPr="006731CB">
        <w:rPr>
          <w:rFonts w:ascii="Times New Roman" w:eastAsia="Times New Roman" w:hAnsi="Times New Roman" w:cs="Times New Roman"/>
          <w:sz w:val="24"/>
          <w:szCs w:val="24"/>
          <w:lang w:eastAsia="tr-TR"/>
        </w:rPr>
        <w:t xml:space="preserve">gelir dağılımını iyileştirmektir. </w:t>
      </w:r>
      <w:r w:rsidR="001877DF" w:rsidRPr="006731CB">
        <w:rPr>
          <w:rFonts w:ascii="Times New Roman" w:eastAsia="Times New Roman" w:hAnsi="Times New Roman" w:cs="Times New Roman"/>
          <w:sz w:val="24"/>
          <w:szCs w:val="24"/>
          <w:lang w:eastAsia="tr-TR"/>
        </w:rPr>
        <w:t>Aynı dönemde</w:t>
      </w:r>
      <w:r w:rsidR="002B05EF" w:rsidRPr="006731CB">
        <w:rPr>
          <w:rFonts w:ascii="Times New Roman" w:eastAsia="Times New Roman" w:hAnsi="Times New Roman" w:cs="Times New Roman"/>
          <w:sz w:val="24"/>
          <w:szCs w:val="24"/>
          <w:lang w:eastAsia="tr-TR"/>
        </w:rPr>
        <w:t xml:space="preserve">, </w:t>
      </w:r>
      <w:r w:rsidR="00865D7D" w:rsidRPr="006731CB">
        <w:rPr>
          <w:rFonts w:ascii="Times New Roman" w:eastAsia="Times New Roman" w:hAnsi="Times New Roman" w:cs="Times New Roman"/>
          <w:sz w:val="24"/>
          <w:szCs w:val="24"/>
          <w:lang w:eastAsia="tr-TR"/>
        </w:rPr>
        <w:t xml:space="preserve">orta vadede </w:t>
      </w:r>
      <w:r w:rsidR="00874DA1" w:rsidRPr="006731CB">
        <w:rPr>
          <w:rFonts w:ascii="Times New Roman" w:eastAsia="Times New Roman" w:hAnsi="Times New Roman" w:cs="Times New Roman"/>
          <w:sz w:val="24"/>
          <w:szCs w:val="24"/>
          <w:lang w:eastAsia="tr-TR"/>
        </w:rPr>
        <w:t xml:space="preserve">nitelikli istihdam </w:t>
      </w:r>
      <w:r w:rsidR="000845A0" w:rsidRPr="006731CB">
        <w:rPr>
          <w:rFonts w:ascii="Times New Roman" w:eastAsia="Times New Roman" w:hAnsi="Times New Roman" w:cs="Times New Roman"/>
          <w:sz w:val="24"/>
          <w:szCs w:val="24"/>
          <w:lang w:eastAsia="tr-TR"/>
        </w:rPr>
        <w:t>oluşturan</w:t>
      </w:r>
      <w:r w:rsidR="00874DA1" w:rsidRPr="006731CB">
        <w:rPr>
          <w:rFonts w:ascii="Times New Roman" w:eastAsia="Times New Roman" w:hAnsi="Times New Roman" w:cs="Times New Roman"/>
          <w:sz w:val="24"/>
          <w:szCs w:val="24"/>
          <w:lang w:eastAsia="tr-TR"/>
        </w:rPr>
        <w:t xml:space="preserve">, </w:t>
      </w:r>
      <w:r w:rsidR="002B05EF" w:rsidRPr="006731CB">
        <w:rPr>
          <w:rFonts w:ascii="Times New Roman" w:eastAsia="Times New Roman" w:hAnsi="Times New Roman" w:cs="Times New Roman"/>
          <w:sz w:val="24"/>
          <w:szCs w:val="24"/>
          <w:lang w:eastAsia="tr-TR"/>
        </w:rPr>
        <w:t>enflasyon ve cari açı</w:t>
      </w:r>
      <w:r w:rsidR="000845A0" w:rsidRPr="006731CB">
        <w:rPr>
          <w:rFonts w:ascii="Times New Roman" w:eastAsia="Times New Roman" w:hAnsi="Times New Roman" w:cs="Times New Roman"/>
          <w:sz w:val="24"/>
          <w:szCs w:val="24"/>
          <w:lang w:eastAsia="tr-TR"/>
        </w:rPr>
        <w:t>ğa</w:t>
      </w:r>
      <w:r w:rsidR="002B05EF" w:rsidRPr="006731CB">
        <w:rPr>
          <w:rFonts w:ascii="Times New Roman" w:eastAsia="Times New Roman" w:hAnsi="Times New Roman" w:cs="Times New Roman"/>
          <w:sz w:val="24"/>
          <w:szCs w:val="24"/>
          <w:lang w:eastAsia="tr-TR"/>
        </w:rPr>
        <w:t xml:space="preserve"> </w:t>
      </w:r>
      <w:r w:rsidR="000845A0" w:rsidRPr="006731CB">
        <w:rPr>
          <w:rFonts w:ascii="Times New Roman" w:eastAsia="Times New Roman" w:hAnsi="Times New Roman" w:cs="Times New Roman"/>
          <w:sz w:val="24"/>
          <w:szCs w:val="24"/>
          <w:lang w:eastAsia="tr-TR"/>
        </w:rPr>
        <w:t>yol açmayan</w:t>
      </w:r>
      <w:r w:rsidR="007050B2" w:rsidRPr="006731CB">
        <w:rPr>
          <w:rFonts w:ascii="Times New Roman" w:eastAsia="Times New Roman" w:hAnsi="Times New Roman" w:cs="Times New Roman"/>
          <w:sz w:val="24"/>
          <w:szCs w:val="24"/>
          <w:lang w:eastAsia="tr-TR"/>
        </w:rPr>
        <w:t xml:space="preserve">, </w:t>
      </w:r>
      <w:r w:rsidR="002B05EF" w:rsidRPr="006731CB">
        <w:rPr>
          <w:rFonts w:ascii="Times New Roman" w:eastAsia="Times New Roman" w:hAnsi="Times New Roman" w:cs="Times New Roman"/>
          <w:sz w:val="24"/>
          <w:szCs w:val="24"/>
          <w:lang w:eastAsia="tr-TR"/>
        </w:rPr>
        <w:t>ağırlıklı olarak yurtiçi tasarruflar</w:t>
      </w:r>
      <w:r w:rsidR="00874DA1" w:rsidRPr="006731CB">
        <w:rPr>
          <w:rFonts w:ascii="Times New Roman" w:eastAsia="Times New Roman" w:hAnsi="Times New Roman" w:cs="Times New Roman"/>
          <w:sz w:val="24"/>
          <w:szCs w:val="24"/>
          <w:lang w:eastAsia="tr-TR"/>
        </w:rPr>
        <w:t xml:space="preserve"> ve doğrudan </w:t>
      </w:r>
      <w:r w:rsidRPr="006731CB">
        <w:rPr>
          <w:rFonts w:ascii="Times New Roman" w:eastAsia="Times New Roman" w:hAnsi="Times New Roman" w:cs="Times New Roman"/>
          <w:sz w:val="24"/>
          <w:szCs w:val="24"/>
          <w:lang w:eastAsia="tr-TR"/>
        </w:rPr>
        <w:t>yabancı yatırımlarla finanse edilen, yatırım ve ihracata dayalı bir</w:t>
      </w:r>
      <w:r w:rsidR="00874DA1" w:rsidRPr="006731CB">
        <w:rPr>
          <w:rFonts w:ascii="Times New Roman" w:eastAsia="Times New Roman" w:hAnsi="Times New Roman" w:cs="Times New Roman"/>
          <w:sz w:val="24"/>
          <w:szCs w:val="24"/>
          <w:lang w:eastAsia="tr-TR"/>
        </w:rPr>
        <w:t xml:space="preserve"> büyüm</w:t>
      </w:r>
      <w:r w:rsidRPr="006731CB">
        <w:rPr>
          <w:rFonts w:ascii="Times New Roman" w:eastAsia="Times New Roman" w:hAnsi="Times New Roman" w:cs="Times New Roman"/>
          <w:sz w:val="24"/>
          <w:szCs w:val="24"/>
          <w:lang w:eastAsia="tr-TR"/>
        </w:rPr>
        <w:t xml:space="preserve">e </w:t>
      </w:r>
      <w:r w:rsidR="002B05EF" w:rsidRPr="006731CB">
        <w:rPr>
          <w:rFonts w:ascii="Times New Roman" w:eastAsia="Times New Roman" w:hAnsi="Times New Roman" w:cs="Times New Roman"/>
          <w:sz w:val="24"/>
          <w:szCs w:val="24"/>
          <w:lang w:eastAsia="tr-TR"/>
        </w:rPr>
        <w:t>yapısı</w:t>
      </w:r>
      <w:r w:rsidRPr="006731CB">
        <w:rPr>
          <w:rFonts w:ascii="Times New Roman" w:eastAsia="Times New Roman" w:hAnsi="Times New Roman" w:cs="Times New Roman"/>
          <w:sz w:val="24"/>
          <w:szCs w:val="24"/>
          <w:lang w:eastAsia="tr-TR"/>
        </w:rPr>
        <w:t xml:space="preserve"> hedeflenmektedir. </w:t>
      </w:r>
      <w:r w:rsidR="001877DF" w:rsidRPr="006731CB">
        <w:rPr>
          <w:rFonts w:ascii="Times New Roman" w:eastAsia="Times New Roman" w:hAnsi="Times New Roman" w:cs="Times New Roman"/>
          <w:sz w:val="24"/>
          <w:szCs w:val="24"/>
          <w:lang w:eastAsia="tr-TR"/>
        </w:rPr>
        <w:t>Bu dönemde</w:t>
      </w:r>
      <w:r w:rsidR="002B05EF" w:rsidRPr="006731CB">
        <w:rPr>
          <w:rFonts w:ascii="Times New Roman" w:eastAsia="Times New Roman" w:hAnsi="Times New Roman" w:cs="Times New Roman"/>
          <w:sz w:val="24"/>
          <w:szCs w:val="24"/>
          <w:lang w:eastAsia="tr-TR"/>
        </w:rPr>
        <w:t>,</w:t>
      </w:r>
      <w:r w:rsidR="00455F5D" w:rsidRPr="006731CB">
        <w:rPr>
          <w:rFonts w:ascii="Times New Roman" w:eastAsia="Times New Roman" w:hAnsi="Times New Roman" w:cs="Times New Roman"/>
          <w:sz w:val="24"/>
          <w:szCs w:val="24"/>
          <w:lang w:eastAsia="tr-TR"/>
        </w:rPr>
        <w:t xml:space="preserve"> </w:t>
      </w:r>
      <w:r w:rsidR="00CC15CC" w:rsidRPr="006731CB">
        <w:rPr>
          <w:rFonts w:ascii="Times New Roman" w:eastAsia="Times New Roman" w:hAnsi="Times New Roman" w:cs="Times New Roman"/>
          <w:sz w:val="24"/>
          <w:szCs w:val="24"/>
          <w:lang w:eastAsia="tr-TR"/>
        </w:rPr>
        <w:t>büyümenin ve istihdamın hem niceliğinin hem de kalitesinin artmasına hizmet edecek politika ve tedbirleri</w:t>
      </w:r>
      <w:r w:rsidR="002E4B4E" w:rsidRPr="006731CB">
        <w:rPr>
          <w:rFonts w:ascii="Times New Roman" w:eastAsia="Times New Roman" w:hAnsi="Times New Roman" w:cs="Times New Roman"/>
          <w:sz w:val="24"/>
          <w:szCs w:val="24"/>
          <w:lang w:eastAsia="tr-TR"/>
        </w:rPr>
        <w:t>n</w:t>
      </w:r>
      <w:r w:rsidR="00CC15CC" w:rsidRPr="006731CB">
        <w:rPr>
          <w:rFonts w:ascii="Times New Roman" w:eastAsia="Times New Roman" w:hAnsi="Times New Roman" w:cs="Times New Roman"/>
          <w:sz w:val="24"/>
          <w:szCs w:val="24"/>
          <w:lang w:eastAsia="tr-TR"/>
        </w:rPr>
        <w:t xml:space="preserve"> uygulanması temel öncelik olacaktır.</w:t>
      </w:r>
    </w:p>
    <w:p w:rsidR="002D5A7B" w:rsidRPr="006731CB" w:rsidRDefault="002D5A7B" w:rsidP="00483887">
      <w:pPr>
        <w:pStyle w:val="ListeParagraf"/>
        <w:numPr>
          <w:ilvl w:val="0"/>
          <w:numId w:val="22"/>
        </w:numPr>
        <w:tabs>
          <w:tab w:val="left" w:pos="851"/>
        </w:tabs>
        <w:spacing w:before="120" w:after="0"/>
        <w:ind w:left="0" w:firstLine="567"/>
        <w:contextualSpacing w:val="0"/>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Mali Plan döneminde maliye politikası</w:t>
      </w:r>
      <w:r w:rsidR="000845A0" w:rsidRPr="006731CB">
        <w:rPr>
          <w:rFonts w:ascii="Times New Roman" w:eastAsia="Times New Roman" w:hAnsi="Times New Roman" w:cs="Times New Roman"/>
          <w:sz w:val="24"/>
          <w:szCs w:val="24"/>
          <w:lang w:eastAsia="tr-TR"/>
        </w:rPr>
        <w:t>,</w:t>
      </w:r>
      <w:r w:rsidRPr="006731CB">
        <w:rPr>
          <w:rFonts w:ascii="Times New Roman" w:eastAsia="Times New Roman" w:hAnsi="Times New Roman" w:cs="Times New Roman"/>
          <w:sz w:val="24"/>
          <w:szCs w:val="24"/>
          <w:lang w:eastAsia="tr-TR"/>
        </w:rPr>
        <w:t xml:space="preserve"> </w:t>
      </w:r>
      <w:r w:rsidR="000845A0" w:rsidRPr="006731CB">
        <w:rPr>
          <w:rFonts w:ascii="Times New Roman" w:eastAsia="Times New Roman" w:hAnsi="Times New Roman" w:cs="Times New Roman"/>
          <w:sz w:val="24"/>
          <w:szCs w:val="24"/>
          <w:lang w:eastAsia="tr-TR"/>
        </w:rPr>
        <w:t>temel</w:t>
      </w:r>
      <w:r w:rsidRPr="006731CB">
        <w:rPr>
          <w:rFonts w:ascii="Times New Roman" w:eastAsia="Times New Roman" w:hAnsi="Times New Roman" w:cs="Times New Roman"/>
          <w:sz w:val="24"/>
          <w:szCs w:val="24"/>
          <w:lang w:eastAsia="tr-TR"/>
        </w:rPr>
        <w:t xml:space="preserve"> amaç ve önceliklerle</w:t>
      </w:r>
      <w:r w:rsidR="000845A0" w:rsidRPr="006731CB">
        <w:rPr>
          <w:rFonts w:ascii="Times New Roman" w:eastAsia="Times New Roman" w:hAnsi="Times New Roman" w:cs="Times New Roman"/>
          <w:sz w:val="24"/>
          <w:szCs w:val="24"/>
          <w:lang w:eastAsia="tr-TR"/>
        </w:rPr>
        <w:t xml:space="preserve"> birlikte para politikası hedefleriyle de </w:t>
      </w:r>
      <w:r w:rsidRPr="006731CB">
        <w:rPr>
          <w:rFonts w:ascii="Times New Roman" w:eastAsia="Times New Roman" w:hAnsi="Times New Roman" w:cs="Times New Roman"/>
          <w:sz w:val="24"/>
          <w:szCs w:val="24"/>
          <w:lang w:eastAsia="tr-TR"/>
        </w:rPr>
        <w:t>uyumlu olarak</w:t>
      </w:r>
      <w:r w:rsidR="000845A0" w:rsidRPr="006731CB">
        <w:rPr>
          <w:rFonts w:ascii="Times New Roman" w:eastAsia="Times New Roman" w:hAnsi="Times New Roman" w:cs="Times New Roman"/>
          <w:sz w:val="24"/>
          <w:szCs w:val="24"/>
          <w:lang w:eastAsia="tr-TR"/>
        </w:rPr>
        <w:t>,</w:t>
      </w:r>
      <w:r w:rsidRPr="006731CB">
        <w:rPr>
          <w:rFonts w:ascii="Times New Roman" w:eastAsia="Times New Roman" w:hAnsi="Times New Roman" w:cs="Times New Roman"/>
          <w:sz w:val="24"/>
          <w:szCs w:val="24"/>
          <w:lang w:eastAsia="tr-TR"/>
        </w:rPr>
        <w:t xml:space="preserve"> ekonomik istikrarın </w:t>
      </w:r>
      <w:r w:rsidR="00283AD1" w:rsidRPr="006731CB">
        <w:rPr>
          <w:rFonts w:ascii="Times New Roman" w:eastAsia="Times New Roman" w:hAnsi="Times New Roman" w:cs="Times New Roman"/>
          <w:sz w:val="24"/>
          <w:szCs w:val="24"/>
          <w:lang w:eastAsia="tr-TR"/>
        </w:rPr>
        <w:t>korunmasına</w:t>
      </w:r>
      <w:r w:rsidRPr="006731CB">
        <w:rPr>
          <w:rFonts w:ascii="Times New Roman" w:eastAsia="Times New Roman" w:hAnsi="Times New Roman" w:cs="Times New Roman"/>
          <w:sz w:val="24"/>
          <w:szCs w:val="24"/>
          <w:lang w:eastAsia="tr-TR"/>
        </w:rPr>
        <w:t xml:space="preserve">, </w:t>
      </w:r>
      <w:r w:rsidR="00195050" w:rsidRPr="006731CB">
        <w:rPr>
          <w:rFonts w:ascii="Times New Roman" w:eastAsia="Times New Roman" w:hAnsi="Times New Roman" w:cs="Times New Roman"/>
          <w:sz w:val="24"/>
          <w:szCs w:val="24"/>
          <w:lang w:eastAsia="tr-TR"/>
        </w:rPr>
        <w:t>büyüme</w:t>
      </w:r>
      <w:r w:rsidR="006D0ADE" w:rsidRPr="006731CB">
        <w:rPr>
          <w:rFonts w:ascii="Times New Roman" w:eastAsia="Times New Roman" w:hAnsi="Times New Roman" w:cs="Times New Roman"/>
          <w:sz w:val="24"/>
          <w:szCs w:val="24"/>
          <w:lang w:eastAsia="tr-TR"/>
        </w:rPr>
        <w:t xml:space="preserve"> </w:t>
      </w:r>
      <w:r w:rsidR="00195050" w:rsidRPr="006731CB">
        <w:rPr>
          <w:rFonts w:ascii="Times New Roman" w:eastAsia="Times New Roman" w:hAnsi="Times New Roman" w:cs="Times New Roman"/>
          <w:sz w:val="24"/>
          <w:szCs w:val="24"/>
          <w:lang w:eastAsia="tr-TR"/>
        </w:rPr>
        <w:t xml:space="preserve">potansiyelinin </w:t>
      </w:r>
      <w:r w:rsidR="007A4F07" w:rsidRPr="006731CB">
        <w:rPr>
          <w:rFonts w:ascii="Times New Roman" w:eastAsia="Times New Roman" w:hAnsi="Times New Roman" w:cs="Times New Roman"/>
          <w:sz w:val="24"/>
          <w:szCs w:val="24"/>
          <w:lang w:eastAsia="tr-TR"/>
        </w:rPr>
        <w:t>ar</w:t>
      </w:r>
      <w:r w:rsidR="00F71CE4" w:rsidRPr="006731CB">
        <w:rPr>
          <w:rFonts w:ascii="Times New Roman" w:eastAsia="Times New Roman" w:hAnsi="Times New Roman" w:cs="Times New Roman"/>
          <w:sz w:val="24"/>
          <w:szCs w:val="24"/>
          <w:lang w:eastAsia="tr-TR"/>
        </w:rPr>
        <w:t>tırılmasına</w:t>
      </w:r>
      <w:r w:rsidR="00195050" w:rsidRPr="006731CB">
        <w:rPr>
          <w:rFonts w:ascii="Times New Roman" w:eastAsia="Times New Roman" w:hAnsi="Times New Roman" w:cs="Times New Roman"/>
          <w:sz w:val="24"/>
          <w:szCs w:val="24"/>
          <w:lang w:eastAsia="tr-TR"/>
        </w:rPr>
        <w:t xml:space="preserve">, </w:t>
      </w:r>
      <w:r w:rsidRPr="006731CB">
        <w:rPr>
          <w:rFonts w:ascii="Times New Roman" w:eastAsia="Times New Roman" w:hAnsi="Times New Roman" w:cs="Times New Roman"/>
          <w:sz w:val="24"/>
          <w:szCs w:val="24"/>
          <w:lang w:eastAsia="tr-TR"/>
        </w:rPr>
        <w:t xml:space="preserve">cari açığın </w:t>
      </w:r>
      <w:r w:rsidR="006D0ADE" w:rsidRPr="006731CB">
        <w:rPr>
          <w:rFonts w:ascii="Times New Roman" w:eastAsia="Times New Roman" w:hAnsi="Times New Roman" w:cs="Times New Roman"/>
          <w:sz w:val="24"/>
          <w:szCs w:val="24"/>
          <w:lang w:eastAsia="tr-TR"/>
        </w:rPr>
        <w:t xml:space="preserve">sürdürülebilir düzeyde </w:t>
      </w:r>
      <w:r w:rsidRPr="006731CB">
        <w:rPr>
          <w:rFonts w:ascii="Times New Roman" w:eastAsia="Times New Roman" w:hAnsi="Times New Roman" w:cs="Times New Roman"/>
          <w:sz w:val="24"/>
          <w:szCs w:val="24"/>
          <w:lang w:eastAsia="tr-TR"/>
        </w:rPr>
        <w:t>tutulması</w:t>
      </w:r>
      <w:r w:rsidR="00195050" w:rsidRPr="006731CB">
        <w:rPr>
          <w:rFonts w:ascii="Times New Roman" w:eastAsia="Times New Roman" w:hAnsi="Times New Roman" w:cs="Times New Roman"/>
          <w:sz w:val="24"/>
          <w:szCs w:val="24"/>
          <w:lang w:eastAsia="tr-TR"/>
        </w:rPr>
        <w:t>na</w:t>
      </w:r>
      <w:r w:rsidR="00275F98" w:rsidRPr="006731CB">
        <w:rPr>
          <w:rFonts w:ascii="Times New Roman" w:eastAsia="Times New Roman" w:hAnsi="Times New Roman" w:cs="Times New Roman"/>
          <w:sz w:val="24"/>
          <w:szCs w:val="24"/>
          <w:lang w:eastAsia="tr-TR"/>
        </w:rPr>
        <w:t>,</w:t>
      </w:r>
      <w:r w:rsidR="00195050" w:rsidRPr="006731CB">
        <w:rPr>
          <w:rFonts w:ascii="Times New Roman" w:eastAsia="Times New Roman" w:hAnsi="Times New Roman" w:cs="Times New Roman"/>
          <w:sz w:val="24"/>
          <w:szCs w:val="24"/>
          <w:lang w:eastAsia="tr-TR"/>
        </w:rPr>
        <w:t xml:space="preserve"> </w:t>
      </w:r>
      <w:r w:rsidR="007A4F07" w:rsidRPr="006731CB">
        <w:rPr>
          <w:rFonts w:ascii="Times New Roman" w:eastAsia="Times New Roman" w:hAnsi="Times New Roman" w:cs="Times New Roman"/>
          <w:sz w:val="24"/>
          <w:szCs w:val="24"/>
          <w:lang w:eastAsia="tr-TR"/>
        </w:rPr>
        <w:t>yurt</w:t>
      </w:r>
      <w:r w:rsidR="00283AD1" w:rsidRPr="006731CB">
        <w:rPr>
          <w:rFonts w:ascii="Times New Roman" w:eastAsia="Times New Roman" w:hAnsi="Times New Roman" w:cs="Times New Roman"/>
          <w:sz w:val="24"/>
          <w:szCs w:val="24"/>
          <w:lang w:eastAsia="tr-TR"/>
        </w:rPr>
        <w:t>içi tasarrufların</w:t>
      </w:r>
      <w:r w:rsidR="00EF0DB8" w:rsidRPr="006731CB">
        <w:rPr>
          <w:rFonts w:ascii="Times New Roman" w:eastAsia="Times New Roman" w:hAnsi="Times New Roman" w:cs="Times New Roman"/>
          <w:sz w:val="24"/>
          <w:szCs w:val="24"/>
          <w:lang w:eastAsia="tr-TR"/>
        </w:rPr>
        <w:t xml:space="preserve"> artırılması</w:t>
      </w:r>
      <w:r w:rsidR="005C04E2" w:rsidRPr="006731CB">
        <w:rPr>
          <w:rFonts w:ascii="Times New Roman" w:eastAsia="Times New Roman" w:hAnsi="Times New Roman" w:cs="Times New Roman"/>
          <w:sz w:val="24"/>
          <w:szCs w:val="24"/>
          <w:lang w:eastAsia="tr-TR"/>
        </w:rPr>
        <w:t>na</w:t>
      </w:r>
      <w:r w:rsidR="00EF0DB8" w:rsidRPr="006731CB">
        <w:rPr>
          <w:rFonts w:ascii="Times New Roman" w:eastAsia="Times New Roman" w:hAnsi="Times New Roman" w:cs="Times New Roman"/>
          <w:sz w:val="24"/>
          <w:szCs w:val="24"/>
          <w:lang w:eastAsia="tr-TR"/>
        </w:rPr>
        <w:t xml:space="preserve"> </w:t>
      </w:r>
      <w:r w:rsidR="00283AD1" w:rsidRPr="006731CB">
        <w:rPr>
          <w:rFonts w:ascii="Times New Roman" w:eastAsia="Times New Roman" w:hAnsi="Times New Roman" w:cs="Times New Roman"/>
          <w:sz w:val="24"/>
          <w:szCs w:val="24"/>
          <w:lang w:eastAsia="tr-TR"/>
        </w:rPr>
        <w:t>ve yatırımların teşvikine katkı verecek şekilde</w:t>
      </w:r>
      <w:r w:rsidR="00283AD1" w:rsidRPr="006731CB">
        <w:rPr>
          <w:rFonts w:ascii="Arial" w:eastAsia="Calibri" w:hAnsi="Arial" w:cs="Arial"/>
          <w:sz w:val="24"/>
          <w:szCs w:val="24"/>
        </w:rPr>
        <w:t xml:space="preserve"> </w:t>
      </w:r>
      <w:r w:rsidRPr="006731CB">
        <w:rPr>
          <w:rFonts w:ascii="Times New Roman" w:eastAsia="Times New Roman" w:hAnsi="Times New Roman" w:cs="Times New Roman"/>
          <w:sz w:val="24"/>
          <w:szCs w:val="24"/>
          <w:lang w:eastAsia="tr-TR"/>
        </w:rPr>
        <w:t xml:space="preserve">uygulanacaktır. </w:t>
      </w:r>
      <w:proofErr w:type="gramStart"/>
      <w:r w:rsidRPr="006731CB">
        <w:rPr>
          <w:rFonts w:ascii="Times New Roman" w:eastAsia="Times New Roman" w:hAnsi="Times New Roman" w:cs="Times New Roman"/>
          <w:sz w:val="24"/>
          <w:szCs w:val="24"/>
          <w:lang w:eastAsia="tr-TR"/>
        </w:rPr>
        <w:t>201</w:t>
      </w:r>
      <w:r w:rsidR="00407FE9" w:rsidRPr="006731CB">
        <w:rPr>
          <w:rFonts w:ascii="Times New Roman" w:eastAsia="Times New Roman" w:hAnsi="Times New Roman" w:cs="Times New Roman"/>
          <w:sz w:val="24"/>
          <w:szCs w:val="24"/>
          <w:lang w:eastAsia="tr-TR"/>
        </w:rPr>
        <w:t>8</w:t>
      </w:r>
      <w:r w:rsidRPr="006731CB">
        <w:rPr>
          <w:rFonts w:ascii="Times New Roman" w:eastAsia="Times New Roman" w:hAnsi="Times New Roman" w:cs="Times New Roman"/>
          <w:sz w:val="24"/>
          <w:szCs w:val="24"/>
          <w:lang w:eastAsia="tr-TR"/>
        </w:rPr>
        <w:t>-20</w:t>
      </w:r>
      <w:r w:rsidR="00407FE9" w:rsidRPr="006731CB">
        <w:rPr>
          <w:rFonts w:ascii="Times New Roman" w:eastAsia="Times New Roman" w:hAnsi="Times New Roman" w:cs="Times New Roman"/>
          <w:sz w:val="24"/>
          <w:szCs w:val="24"/>
          <w:lang w:eastAsia="tr-TR"/>
        </w:rPr>
        <w:t>20</w:t>
      </w:r>
      <w:r w:rsidRPr="006731CB">
        <w:rPr>
          <w:rFonts w:ascii="Times New Roman" w:eastAsia="Times New Roman" w:hAnsi="Times New Roman" w:cs="Times New Roman"/>
          <w:sz w:val="24"/>
          <w:szCs w:val="24"/>
          <w:lang w:eastAsia="tr-TR"/>
        </w:rPr>
        <w:t xml:space="preserve"> döneminde </w:t>
      </w:r>
      <w:r w:rsidR="003168D4" w:rsidRPr="006731CB">
        <w:rPr>
          <w:rFonts w:ascii="Times New Roman" w:eastAsia="Times New Roman" w:hAnsi="Times New Roman" w:cs="Times New Roman"/>
          <w:sz w:val="24"/>
          <w:szCs w:val="24"/>
          <w:lang w:eastAsia="tr-TR"/>
        </w:rPr>
        <w:t>kamu harcama ve gelirlerinin milli gelir için</w:t>
      </w:r>
      <w:r w:rsidR="00753FCD" w:rsidRPr="006731CB">
        <w:rPr>
          <w:rFonts w:ascii="Times New Roman" w:eastAsia="Times New Roman" w:hAnsi="Times New Roman" w:cs="Times New Roman"/>
          <w:sz w:val="24"/>
          <w:szCs w:val="24"/>
          <w:lang w:eastAsia="tr-TR"/>
        </w:rPr>
        <w:t>deki payı</w:t>
      </w:r>
      <w:r w:rsidR="003168D4" w:rsidRPr="006731CB">
        <w:rPr>
          <w:rFonts w:ascii="Times New Roman" w:eastAsia="Times New Roman" w:hAnsi="Times New Roman" w:cs="Times New Roman"/>
          <w:sz w:val="24"/>
          <w:szCs w:val="24"/>
          <w:lang w:eastAsia="tr-TR"/>
        </w:rPr>
        <w:t xml:space="preserve"> sınırlandırılacak ve etkinliği artırılacak, kamu gelirleri içinde vergi gelirlerinin payının artırılması suretiyle sağlıklı ve sürekli kaynaklardan kamu geliri elde edilecek, </w:t>
      </w:r>
      <w:r w:rsidRPr="006731CB">
        <w:rPr>
          <w:rFonts w:ascii="Times New Roman" w:eastAsia="Times New Roman" w:hAnsi="Times New Roman" w:cs="Times New Roman"/>
          <w:sz w:val="24"/>
          <w:szCs w:val="24"/>
          <w:lang w:eastAsia="tr-TR"/>
        </w:rPr>
        <w:t>kamu kesimi borçlanma gereği</w:t>
      </w:r>
      <w:r w:rsidR="00F71CE4" w:rsidRPr="006731CB">
        <w:rPr>
          <w:rFonts w:ascii="Times New Roman" w:eastAsia="Times New Roman" w:hAnsi="Times New Roman" w:cs="Times New Roman"/>
          <w:sz w:val="24"/>
          <w:szCs w:val="24"/>
          <w:lang w:eastAsia="tr-TR"/>
        </w:rPr>
        <w:t xml:space="preserve"> kontrol altında tutulacak</w:t>
      </w:r>
      <w:r w:rsidR="00C60510" w:rsidRPr="006731CB">
        <w:rPr>
          <w:rFonts w:ascii="Times New Roman" w:eastAsia="Times New Roman" w:hAnsi="Times New Roman" w:cs="Times New Roman"/>
          <w:sz w:val="24"/>
          <w:szCs w:val="24"/>
          <w:lang w:eastAsia="tr-TR"/>
        </w:rPr>
        <w:t>,</w:t>
      </w:r>
      <w:r w:rsidR="00275F98" w:rsidRPr="006731CB">
        <w:rPr>
          <w:rFonts w:ascii="Arial" w:eastAsia="Calibri" w:hAnsi="Arial" w:cs="Arial"/>
          <w:sz w:val="24"/>
          <w:szCs w:val="24"/>
        </w:rPr>
        <w:t xml:space="preserve"> </w:t>
      </w:r>
      <w:r w:rsidR="00195050" w:rsidRPr="006731CB">
        <w:rPr>
          <w:rFonts w:ascii="Times New Roman" w:eastAsia="Times New Roman" w:hAnsi="Times New Roman" w:cs="Times New Roman"/>
          <w:sz w:val="24"/>
          <w:szCs w:val="24"/>
          <w:lang w:eastAsia="tr-TR"/>
        </w:rPr>
        <w:t>maliye politikasının sürdürülebilirliği gözetilecek,</w:t>
      </w:r>
      <w:r w:rsidRPr="006731CB">
        <w:rPr>
          <w:rFonts w:ascii="Times New Roman" w:eastAsia="Times New Roman" w:hAnsi="Times New Roman" w:cs="Times New Roman"/>
          <w:sz w:val="24"/>
          <w:szCs w:val="24"/>
          <w:lang w:eastAsia="tr-TR"/>
        </w:rPr>
        <w:t xml:space="preserve"> kamu maliyesi alanında elde edilen kazanımların gelecek dönemde de korunması sağlanacaktır.</w:t>
      </w:r>
      <w:r w:rsidR="00195050" w:rsidRPr="006731CB">
        <w:rPr>
          <w:rFonts w:ascii="Times New Roman" w:eastAsia="Times New Roman" w:hAnsi="Times New Roman" w:cs="Times New Roman"/>
          <w:sz w:val="24"/>
          <w:szCs w:val="24"/>
          <w:lang w:eastAsia="tr-TR"/>
        </w:rPr>
        <w:t xml:space="preserve"> </w:t>
      </w:r>
      <w:proofErr w:type="gramEnd"/>
    </w:p>
    <w:p w:rsidR="004A1056" w:rsidRPr="006731CB" w:rsidRDefault="002D5A7B" w:rsidP="00483887">
      <w:pPr>
        <w:pStyle w:val="ListeParagraf"/>
        <w:numPr>
          <w:ilvl w:val="0"/>
          <w:numId w:val="22"/>
        </w:numPr>
        <w:tabs>
          <w:tab w:val="left" w:pos="851"/>
        </w:tabs>
        <w:spacing w:before="120" w:after="0"/>
        <w:ind w:left="0" w:firstLine="567"/>
        <w:contextualSpacing w:val="0"/>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Orta Vadeli Mali Plana dayalı olarak hazırlanacak 201</w:t>
      </w:r>
      <w:r w:rsidR="00407FE9" w:rsidRPr="006731CB">
        <w:rPr>
          <w:rFonts w:ascii="Times New Roman" w:eastAsia="Times New Roman" w:hAnsi="Times New Roman" w:cs="Times New Roman"/>
          <w:sz w:val="24"/>
          <w:szCs w:val="24"/>
          <w:lang w:eastAsia="tr-TR"/>
        </w:rPr>
        <w:t>8</w:t>
      </w:r>
      <w:r w:rsidRPr="006731CB">
        <w:rPr>
          <w:rFonts w:ascii="Times New Roman" w:eastAsia="Times New Roman" w:hAnsi="Times New Roman" w:cs="Times New Roman"/>
          <w:sz w:val="24"/>
          <w:szCs w:val="24"/>
          <w:lang w:eastAsia="tr-TR"/>
        </w:rPr>
        <w:t>-20</w:t>
      </w:r>
      <w:r w:rsidR="00407FE9" w:rsidRPr="006731CB">
        <w:rPr>
          <w:rFonts w:ascii="Times New Roman" w:eastAsia="Times New Roman" w:hAnsi="Times New Roman" w:cs="Times New Roman"/>
          <w:sz w:val="24"/>
          <w:szCs w:val="24"/>
          <w:lang w:eastAsia="tr-TR"/>
        </w:rPr>
        <w:t>20</w:t>
      </w:r>
      <w:r w:rsidRPr="006731CB">
        <w:rPr>
          <w:rFonts w:ascii="Times New Roman" w:eastAsia="Times New Roman" w:hAnsi="Times New Roman" w:cs="Times New Roman"/>
          <w:sz w:val="24"/>
          <w:szCs w:val="24"/>
          <w:lang w:eastAsia="tr-TR"/>
        </w:rPr>
        <w:t xml:space="preserve"> yılları merkezi yönetim bütçesi, kaynakların </w:t>
      </w:r>
      <w:r w:rsidR="004A1056" w:rsidRPr="006731CB">
        <w:rPr>
          <w:rFonts w:ascii="Times New Roman" w:eastAsia="Times New Roman" w:hAnsi="Times New Roman" w:cs="Times New Roman"/>
          <w:sz w:val="24"/>
          <w:szCs w:val="24"/>
          <w:lang w:eastAsia="tr-TR"/>
        </w:rPr>
        <w:t xml:space="preserve">belirlenen </w:t>
      </w:r>
      <w:r w:rsidRPr="006731CB">
        <w:rPr>
          <w:rFonts w:ascii="Times New Roman" w:eastAsia="Times New Roman" w:hAnsi="Times New Roman" w:cs="Times New Roman"/>
          <w:sz w:val="24"/>
          <w:szCs w:val="24"/>
          <w:lang w:eastAsia="tr-TR"/>
        </w:rPr>
        <w:t>politika önc</w:t>
      </w:r>
      <w:r w:rsidR="004A1056" w:rsidRPr="006731CB">
        <w:rPr>
          <w:rFonts w:ascii="Times New Roman" w:eastAsia="Times New Roman" w:hAnsi="Times New Roman" w:cs="Times New Roman"/>
          <w:sz w:val="24"/>
          <w:szCs w:val="24"/>
          <w:lang w:eastAsia="tr-TR"/>
        </w:rPr>
        <w:t>elikleri doğrultusunda tahsisi</w:t>
      </w:r>
      <w:r w:rsidR="00E452F2" w:rsidRPr="006731CB">
        <w:rPr>
          <w:rFonts w:ascii="Times New Roman" w:eastAsia="Times New Roman" w:hAnsi="Times New Roman" w:cs="Times New Roman"/>
          <w:sz w:val="24"/>
          <w:szCs w:val="24"/>
          <w:lang w:eastAsia="tr-TR"/>
        </w:rPr>
        <w:t>ni</w:t>
      </w:r>
      <w:r w:rsidR="004A1056" w:rsidRPr="006731CB">
        <w:rPr>
          <w:rFonts w:ascii="Times New Roman" w:eastAsia="Times New Roman" w:hAnsi="Times New Roman" w:cs="Times New Roman"/>
          <w:sz w:val="24"/>
          <w:szCs w:val="24"/>
          <w:lang w:eastAsia="tr-TR"/>
        </w:rPr>
        <w:t xml:space="preserve"> </w:t>
      </w:r>
      <w:r w:rsidR="00E452F2" w:rsidRPr="006731CB">
        <w:rPr>
          <w:rFonts w:ascii="Times New Roman" w:eastAsia="Times New Roman" w:hAnsi="Times New Roman" w:cs="Times New Roman"/>
          <w:sz w:val="24"/>
          <w:szCs w:val="24"/>
          <w:lang w:eastAsia="tr-TR"/>
        </w:rPr>
        <w:t>v</w:t>
      </w:r>
      <w:r w:rsidR="004A1056" w:rsidRPr="006731CB">
        <w:rPr>
          <w:rFonts w:ascii="Times New Roman" w:eastAsia="Times New Roman" w:hAnsi="Times New Roman" w:cs="Times New Roman"/>
          <w:sz w:val="24"/>
          <w:szCs w:val="24"/>
          <w:lang w:eastAsia="tr-TR"/>
        </w:rPr>
        <w:t>e etkili, ekonomik ve verimli bir şekilde kullanılmasını</w:t>
      </w:r>
      <w:r w:rsidRPr="006731CB">
        <w:rPr>
          <w:rFonts w:ascii="Times New Roman" w:eastAsia="Times New Roman" w:hAnsi="Times New Roman" w:cs="Times New Roman"/>
          <w:sz w:val="24"/>
          <w:szCs w:val="24"/>
          <w:lang w:eastAsia="tr-TR"/>
        </w:rPr>
        <w:t xml:space="preserve"> amaçlamaktadır. </w:t>
      </w:r>
    </w:p>
    <w:p w:rsidR="00150B72" w:rsidRPr="006731CB" w:rsidRDefault="003B358D" w:rsidP="00483887">
      <w:pPr>
        <w:pStyle w:val="ListeParagraf"/>
        <w:numPr>
          <w:ilvl w:val="0"/>
          <w:numId w:val="22"/>
        </w:numPr>
        <w:tabs>
          <w:tab w:val="left" w:pos="851"/>
        </w:tabs>
        <w:spacing w:before="120" w:after="0"/>
        <w:ind w:left="0" w:firstLine="567"/>
        <w:contextualSpacing w:val="0"/>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Mali Plan döneminde</w:t>
      </w:r>
      <w:r w:rsidR="002E4B4E"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 xml:space="preserve">yapısal reformların mali disiplini destekleyici bir araç olarak kullanılmasına devam edilecektir. Mevcut harcama programları gözden geçirilerek </w:t>
      </w:r>
      <w:r w:rsidR="00C76217" w:rsidRPr="006731CB">
        <w:rPr>
          <w:rFonts w:ascii="Times New Roman" w:eastAsia="Times New Roman" w:hAnsi="Times New Roman" w:cs="Times New Roman"/>
          <w:sz w:val="24"/>
          <w:szCs w:val="24"/>
          <w:lang w:eastAsia="tr-TR"/>
        </w:rPr>
        <w:t>önceliğini yitirmiş faaliyet ve projeler sonlandırıla</w:t>
      </w:r>
      <w:r w:rsidR="008F7285" w:rsidRPr="006731CB">
        <w:rPr>
          <w:rFonts w:ascii="Times New Roman" w:eastAsia="Times New Roman" w:hAnsi="Times New Roman" w:cs="Times New Roman"/>
          <w:sz w:val="24"/>
          <w:szCs w:val="24"/>
          <w:lang w:eastAsia="tr-TR"/>
        </w:rPr>
        <w:t xml:space="preserve">cak, </w:t>
      </w:r>
      <w:r w:rsidR="001D2EEC" w:rsidRPr="006731CB">
        <w:rPr>
          <w:rFonts w:ascii="Times New Roman" w:eastAsia="Times New Roman" w:hAnsi="Times New Roman" w:cs="Times New Roman"/>
          <w:sz w:val="24"/>
          <w:szCs w:val="24"/>
          <w:lang w:eastAsia="tr-TR"/>
        </w:rPr>
        <w:t xml:space="preserve">harcamalar </w:t>
      </w:r>
      <w:r w:rsidR="002D5A7B" w:rsidRPr="006731CB">
        <w:rPr>
          <w:rFonts w:ascii="Times New Roman" w:eastAsia="Times New Roman" w:hAnsi="Times New Roman" w:cs="Times New Roman"/>
          <w:sz w:val="24"/>
          <w:szCs w:val="24"/>
          <w:lang w:eastAsia="tr-TR"/>
        </w:rPr>
        <w:t>özellikle büyümeyi destekleyecek kamu altyapı yatırımlarında, teşvik,</w:t>
      </w:r>
      <w:r w:rsidR="00567D11" w:rsidRPr="006731CB">
        <w:rPr>
          <w:rFonts w:ascii="Times New Roman" w:eastAsia="Times New Roman" w:hAnsi="Times New Roman" w:cs="Times New Roman"/>
          <w:sz w:val="24"/>
          <w:szCs w:val="24"/>
          <w:lang w:eastAsia="tr-TR"/>
        </w:rPr>
        <w:t xml:space="preserve"> bölgesel kalkınma ve </w:t>
      </w:r>
      <w:r w:rsidR="002D5A7B" w:rsidRPr="006731CB">
        <w:rPr>
          <w:rFonts w:ascii="Times New Roman" w:eastAsia="Times New Roman" w:hAnsi="Times New Roman" w:cs="Times New Roman"/>
          <w:sz w:val="24"/>
          <w:szCs w:val="24"/>
          <w:lang w:eastAsia="tr-TR"/>
        </w:rPr>
        <w:t xml:space="preserve">eğitim </w:t>
      </w:r>
      <w:r w:rsidR="00657D3F" w:rsidRPr="006731CB">
        <w:rPr>
          <w:rFonts w:ascii="Times New Roman" w:eastAsia="Times New Roman" w:hAnsi="Times New Roman" w:cs="Times New Roman"/>
          <w:sz w:val="24"/>
          <w:szCs w:val="24"/>
          <w:lang w:eastAsia="tr-TR"/>
        </w:rPr>
        <w:t>alanları ile</w:t>
      </w:r>
      <w:r w:rsidR="002D5A7B" w:rsidRPr="006731CB">
        <w:rPr>
          <w:rFonts w:ascii="Times New Roman" w:eastAsia="Times New Roman" w:hAnsi="Times New Roman" w:cs="Times New Roman"/>
          <w:sz w:val="24"/>
          <w:szCs w:val="24"/>
          <w:lang w:eastAsia="tr-TR"/>
        </w:rPr>
        <w:t xml:space="preserve"> A</w:t>
      </w:r>
      <w:r w:rsidR="00657D3F" w:rsidRPr="006731CB">
        <w:rPr>
          <w:rFonts w:ascii="Times New Roman" w:eastAsia="Times New Roman" w:hAnsi="Times New Roman" w:cs="Times New Roman"/>
          <w:sz w:val="24"/>
          <w:szCs w:val="24"/>
          <w:lang w:eastAsia="tr-TR"/>
        </w:rPr>
        <w:t>r</w:t>
      </w:r>
      <w:r w:rsidR="002D5A7B" w:rsidRPr="006731CB">
        <w:rPr>
          <w:rFonts w:ascii="Times New Roman" w:eastAsia="Times New Roman" w:hAnsi="Times New Roman" w:cs="Times New Roman"/>
          <w:sz w:val="24"/>
          <w:szCs w:val="24"/>
          <w:lang w:eastAsia="tr-TR"/>
        </w:rPr>
        <w:t>-G</w:t>
      </w:r>
      <w:r w:rsidR="00657D3F" w:rsidRPr="006731CB">
        <w:rPr>
          <w:rFonts w:ascii="Times New Roman" w:eastAsia="Times New Roman" w:hAnsi="Times New Roman" w:cs="Times New Roman"/>
          <w:sz w:val="24"/>
          <w:szCs w:val="24"/>
          <w:lang w:eastAsia="tr-TR"/>
        </w:rPr>
        <w:t>e</w:t>
      </w:r>
      <w:r w:rsidR="002D5A7B" w:rsidRPr="006731CB">
        <w:rPr>
          <w:rFonts w:ascii="Times New Roman" w:eastAsia="Times New Roman" w:hAnsi="Times New Roman" w:cs="Times New Roman"/>
          <w:sz w:val="24"/>
          <w:szCs w:val="24"/>
          <w:lang w:eastAsia="tr-TR"/>
        </w:rPr>
        <w:t xml:space="preserve"> desteklerinde kullanılacak şekilde </w:t>
      </w:r>
      <w:proofErr w:type="spellStart"/>
      <w:r w:rsidR="002D5A7B" w:rsidRPr="006731CB">
        <w:rPr>
          <w:rFonts w:ascii="Times New Roman" w:eastAsia="Times New Roman" w:hAnsi="Times New Roman" w:cs="Times New Roman"/>
          <w:sz w:val="24"/>
          <w:szCs w:val="24"/>
          <w:lang w:eastAsia="tr-TR"/>
        </w:rPr>
        <w:t>önceliklendirilecektir</w:t>
      </w:r>
      <w:proofErr w:type="spellEnd"/>
      <w:r w:rsidR="002D5A7B" w:rsidRPr="006731CB">
        <w:rPr>
          <w:rFonts w:ascii="Times New Roman" w:eastAsia="Times New Roman" w:hAnsi="Times New Roman" w:cs="Times New Roman"/>
          <w:sz w:val="24"/>
          <w:szCs w:val="24"/>
          <w:lang w:eastAsia="tr-TR"/>
        </w:rPr>
        <w:t>.</w:t>
      </w:r>
    </w:p>
    <w:p w:rsidR="002D5A7B" w:rsidRPr="006731CB" w:rsidRDefault="00C34DF9" w:rsidP="00483887">
      <w:pPr>
        <w:pStyle w:val="ListeParagraf"/>
        <w:numPr>
          <w:ilvl w:val="0"/>
          <w:numId w:val="22"/>
        </w:numPr>
        <w:tabs>
          <w:tab w:val="left" w:pos="851"/>
        </w:tabs>
        <w:spacing w:before="120" w:after="0"/>
        <w:ind w:left="0" w:firstLine="567"/>
        <w:contextualSpacing w:val="0"/>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201</w:t>
      </w:r>
      <w:r w:rsidR="00407FE9" w:rsidRPr="006731CB">
        <w:rPr>
          <w:rFonts w:ascii="Times New Roman" w:eastAsia="Times New Roman" w:hAnsi="Times New Roman" w:cs="Times New Roman"/>
          <w:sz w:val="24"/>
          <w:szCs w:val="24"/>
          <w:lang w:eastAsia="tr-TR"/>
        </w:rPr>
        <w:t>8</w:t>
      </w:r>
      <w:r w:rsidR="002D5A7B" w:rsidRPr="006731CB">
        <w:rPr>
          <w:rFonts w:ascii="Times New Roman" w:eastAsia="Times New Roman" w:hAnsi="Times New Roman" w:cs="Times New Roman"/>
          <w:sz w:val="24"/>
          <w:szCs w:val="24"/>
          <w:lang w:eastAsia="tr-TR"/>
        </w:rPr>
        <w:t>-20</w:t>
      </w:r>
      <w:r w:rsidR="00407FE9" w:rsidRPr="006731CB">
        <w:rPr>
          <w:rFonts w:ascii="Times New Roman" w:eastAsia="Times New Roman" w:hAnsi="Times New Roman" w:cs="Times New Roman"/>
          <w:sz w:val="24"/>
          <w:szCs w:val="24"/>
          <w:lang w:eastAsia="tr-TR"/>
        </w:rPr>
        <w:t>20</w:t>
      </w:r>
      <w:r w:rsidR="002D5A7B" w:rsidRPr="006731CB">
        <w:rPr>
          <w:rFonts w:ascii="Times New Roman" w:eastAsia="Times New Roman" w:hAnsi="Times New Roman" w:cs="Times New Roman"/>
          <w:sz w:val="24"/>
          <w:szCs w:val="24"/>
          <w:lang w:eastAsia="tr-TR"/>
        </w:rPr>
        <w:t xml:space="preserve"> dönemi merkezi yönetim bütçesinin hazırlığına esas teşkil edecek temel makroekonomik göstergeler, gelir ve gider tahminleri, hedef bütçe açığı ve açık finansmanı ile genel ve özel bütçeli idarelerin ödenek teklif tavanlarına Mali Planın izleyen bölümlerinde yer verilmiştir. Kamu idareleri, Orta Vadeli Program ile Orta Vadeli Mali Planda yer alan politika önceliklerini, makroekonomik göstergeleri ve ödenek tavanlarını esas almak suretiyle, çok yıllı bütçeleme anlayışına uygun olarak kendi kurumsal önceliklerini belirleyecek ve 201</w:t>
      </w:r>
      <w:r w:rsidR="00407FE9" w:rsidRPr="006731CB">
        <w:rPr>
          <w:rFonts w:ascii="Times New Roman" w:eastAsia="Times New Roman" w:hAnsi="Times New Roman" w:cs="Times New Roman"/>
          <w:sz w:val="24"/>
          <w:szCs w:val="24"/>
          <w:lang w:eastAsia="tr-TR"/>
        </w:rPr>
        <w:t>8</w:t>
      </w:r>
      <w:r w:rsidR="002D5A7B" w:rsidRPr="006731CB">
        <w:rPr>
          <w:rFonts w:ascii="Times New Roman" w:eastAsia="Times New Roman" w:hAnsi="Times New Roman" w:cs="Times New Roman"/>
          <w:sz w:val="24"/>
          <w:szCs w:val="24"/>
          <w:lang w:eastAsia="tr-TR"/>
        </w:rPr>
        <w:t>, 201</w:t>
      </w:r>
      <w:r w:rsidR="00407FE9" w:rsidRPr="006731CB">
        <w:rPr>
          <w:rFonts w:ascii="Times New Roman" w:eastAsia="Times New Roman" w:hAnsi="Times New Roman" w:cs="Times New Roman"/>
          <w:sz w:val="24"/>
          <w:szCs w:val="24"/>
          <w:lang w:eastAsia="tr-TR"/>
        </w:rPr>
        <w:t>9</w:t>
      </w:r>
      <w:r w:rsidR="002D5A7B" w:rsidRPr="006731CB">
        <w:rPr>
          <w:rFonts w:ascii="Times New Roman" w:eastAsia="Times New Roman" w:hAnsi="Times New Roman" w:cs="Times New Roman"/>
          <w:sz w:val="24"/>
          <w:szCs w:val="24"/>
          <w:lang w:eastAsia="tr-TR"/>
        </w:rPr>
        <w:t xml:space="preserve"> ve 20</w:t>
      </w:r>
      <w:r w:rsidR="00407FE9" w:rsidRPr="006731CB">
        <w:rPr>
          <w:rFonts w:ascii="Times New Roman" w:eastAsia="Times New Roman" w:hAnsi="Times New Roman" w:cs="Times New Roman"/>
          <w:sz w:val="24"/>
          <w:szCs w:val="24"/>
          <w:lang w:eastAsia="tr-TR"/>
        </w:rPr>
        <w:t>20</w:t>
      </w:r>
      <w:r w:rsidR="002D5A7B" w:rsidRPr="006731CB">
        <w:rPr>
          <w:rFonts w:ascii="Times New Roman" w:eastAsia="Times New Roman" w:hAnsi="Times New Roman" w:cs="Times New Roman"/>
          <w:sz w:val="24"/>
          <w:szCs w:val="24"/>
          <w:lang w:eastAsia="tr-TR"/>
        </w:rPr>
        <w:t xml:space="preserve"> yılları için bütçe tekliflerini sunacaklardır.</w:t>
      </w:r>
    </w:p>
    <w:p w:rsidR="003F7DA1" w:rsidRPr="006731CB" w:rsidRDefault="003F7DA1" w:rsidP="00483887">
      <w:pPr>
        <w:pStyle w:val="ListeParagraf"/>
        <w:tabs>
          <w:tab w:val="left" w:pos="851"/>
        </w:tabs>
        <w:spacing w:before="120" w:after="0"/>
        <w:ind w:left="567"/>
        <w:contextualSpacing w:val="0"/>
        <w:jc w:val="both"/>
        <w:rPr>
          <w:rFonts w:ascii="Times New Roman" w:eastAsia="Times New Roman" w:hAnsi="Times New Roman" w:cs="Times New Roman"/>
          <w:sz w:val="24"/>
          <w:szCs w:val="24"/>
          <w:lang w:eastAsia="tr-TR"/>
        </w:rPr>
      </w:pPr>
    </w:p>
    <w:p w:rsidR="002D5A7B" w:rsidRPr="00150B72" w:rsidRDefault="002D5A7B" w:rsidP="002D1F1A">
      <w:pPr>
        <w:pStyle w:val="ListeParagraf"/>
        <w:numPr>
          <w:ilvl w:val="0"/>
          <w:numId w:val="21"/>
        </w:numPr>
        <w:tabs>
          <w:tab w:val="left" w:pos="851"/>
        </w:tabs>
        <w:spacing w:after="120"/>
        <w:ind w:left="0" w:firstLine="567"/>
        <w:jc w:val="both"/>
        <w:rPr>
          <w:rFonts w:ascii="Times New Roman" w:eastAsia="Times New Roman" w:hAnsi="Times New Roman" w:cs="Times New Roman"/>
          <w:b/>
          <w:sz w:val="24"/>
          <w:szCs w:val="24"/>
          <w:lang w:eastAsia="tr-TR"/>
        </w:rPr>
      </w:pPr>
      <w:r w:rsidRPr="00150B72">
        <w:rPr>
          <w:rFonts w:ascii="Times New Roman" w:eastAsia="Times New Roman" w:hAnsi="Times New Roman" w:cs="Times New Roman"/>
          <w:b/>
          <w:sz w:val="24"/>
          <w:szCs w:val="24"/>
          <w:lang w:eastAsia="tr-TR"/>
        </w:rPr>
        <w:lastRenderedPageBreak/>
        <w:t>MERKEZİ YÖNETİM BÜTÇESİNİN DAYANDIĞI TEMEL MAKROEKONOMİK GÖSTERGELER VE POLİTİKALAR</w:t>
      </w:r>
    </w:p>
    <w:p w:rsidR="002D5A7B" w:rsidRPr="00932F51" w:rsidRDefault="002D5A7B" w:rsidP="00B26F10">
      <w:pPr>
        <w:tabs>
          <w:tab w:val="left" w:pos="900"/>
        </w:tabs>
        <w:spacing w:after="120"/>
        <w:ind w:left="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Temel Makroekonomik Göstergeler</w:t>
      </w:r>
    </w:p>
    <w:p w:rsidR="002D5A7B" w:rsidRPr="00150B72" w:rsidRDefault="002D5A7B" w:rsidP="00150B72">
      <w:pPr>
        <w:pStyle w:val="ListeParagraf"/>
        <w:numPr>
          <w:ilvl w:val="0"/>
          <w:numId w:val="22"/>
        </w:numPr>
        <w:tabs>
          <w:tab w:val="left" w:pos="851"/>
        </w:tabs>
        <w:spacing w:after="120"/>
        <w:ind w:left="0" w:firstLine="567"/>
        <w:jc w:val="both"/>
        <w:rPr>
          <w:rFonts w:ascii="Times New Roman" w:eastAsia="Times New Roman" w:hAnsi="Times New Roman" w:cs="Times New Roman"/>
          <w:sz w:val="24"/>
          <w:szCs w:val="24"/>
          <w:lang w:eastAsia="tr-TR"/>
        </w:rPr>
      </w:pPr>
      <w:r w:rsidRPr="00150B72">
        <w:rPr>
          <w:rFonts w:ascii="Times New Roman" w:eastAsia="Times New Roman" w:hAnsi="Times New Roman" w:cs="Times New Roman"/>
          <w:sz w:val="24"/>
          <w:szCs w:val="24"/>
          <w:lang w:eastAsia="tr-TR"/>
        </w:rPr>
        <w:t>201</w:t>
      </w:r>
      <w:r w:rsidR="00407FE9" w:rsidRPr="00150B72">
        <w:rPr>
          <w:rFonts w:ascii="Times New Roman" w:eastAsia="Times New Roman" w:hAnsi="Times New Roman" w:cs="Times New Roman"/>
          <w:sz w:val="24"/>
          <w:szCs w:val="24"/>
          <w:lang w:eastAsia="tr-TR"/>
        </w:rPr>
        <w:t>8</w:t>
      </w:r>
      <w:r w:rsidRPr="00150B72">
        <w:rPr>
          <w:rFonts w:ascii="Times New Roman" w:eastAsia="Times New Roman" w:hAnsi="Times New Roman" w:cs="Times New Roman"/>
          <w:sz w:val="24"/>
          <w:szCs w:val="24"/>
          <w:lang w:eastAsia="tr-TR"/>
        </w:rPr>
        <w:t>-20</w:t>
      </w:r>
      <w:r w:rsidR="00407FE9" w:rsidRPr="00150B72">
        <w:rPr>
          <w:rFonts w:ascii="Times New Roman" w:eastAsia="Times New Roman" w:hAnsi="Times New Roman" w:cs="Times New Roman"/>
          <w:sz w:val="24"/>
          <w:szCs w:val="24"/>
          <w:lang w:eastAsia="tr-TR"/>
        </w:rPr>
        <w:t xml:space="preserve">20 </w:t>
      </w:r>
      <w:r w:rsidRPr="00150B72">
        <w:rPr>
          <w:rFonts w:ascii="Times New Roman" w:eastAsia="Times New Roman" w:hAnsi="Times New Roman" w:cs="Times New Roman"/>
          <w:sz w:val="24"/>
          <w:szCs w:val="24"/>
          <w:lang w:eastAsia="tr-TR"/>
        </w:rPr>
        <w:t>dönemi merkezi yönetim bütçesi gelir ve gider tahminlerinin belirlenmesinde, Orta Vadeli Programda öngörülen ve Tablo 1’de yer alan makroekonomik göstergeler esas alınmıştır. Kamu idareleri tarafından 201</w:t>
      </w:r>
      <w:r w:rsidR="00407FE9" w:rsidRPr="00150B72">
        <w:rPr>
          <w:rFonts w:ascii="Times New Roman" w:eastAsia="Times New Roman" w:hAnsi="Times New Roman" w:cs="Times New Roman"/>
          <w:sz w:val="24"/>
          <w:szCs w:val="24"/>
          <w:lang w:eastAsia="tr-TR"/>
        </w:rPr>
        <w:t>8</w:t>
      </w:r>
      <w:r w:rsidRPr="00150B72">
        <w:rPr>
          <w:rFonts w:ascii="Times New Roman" w:eastAsia="Times New Roman" w:hAnsi="Times New Roman" w:cs="Times New Roman"/>
          <w:sz w:val="24"/>
          <w:szCs w:val="24"/>
          <w:lang w:eastAsia="tr-TR"/>
        </w:rPr>
        <w:t>, 201</w:t>
      </w:r>
      <w:r w:rsidR="00407FE9" w:rsidRPr="00150B72">
        <w:rPr>
          <w:rFonts w:ascii="Times New Roman" w:eastAsia="Times New Roman" w:hAnsi="Times New Roman" w:cs="Times New Roman"/>
          <w:sz w:val="24"/>
          <w:szCs w:val="24"/>
          <w:lang w:eastAsia="tr-TR"/>
        </w:rPr>
        <w:t>9</w:t>
      </w:r>
      <w:r w:rsidRPr="00150B72">
        <w:rPr>
          <w:rFonts w:ascii="Times New Roman" w:eastAsia="Times New Roman" w:hAnsi="Times New Roman" w:cs="Times New Roman"/>
          <w:sz w:val="24"/>
          <w:szCs w:val="24"/>
          <w:lang w:eastAsia="tr-TR"/>
        </w:rPr>
        <w:t xml:space="preserve"> ve 20</w:t>
      </w:r>
      <w:r w:rsidR="00407FE9" w:rsidRPr="00150B72">
        <w:rPr>
          <w:rFonts w:ascii="Times New Roman" w:eastAsia="Times New Roman" w:hAnsi="Times New Roman" w:cs="Times New Roman"/>
          <w:sz w:val="24"/>
          <w:szCs w:val="24"/>
          <w:lang w:eastAsia="tr-TR"/>
        </w:rPr>
        <w:t>20</w:t>
      </w:r>
      <w:r w:rsidRPr="00150B72">
        <w:rPr>
          <w:rFonts w:ascii="Times New Roman" w:eastAsia="Times New Roman" w:hAnsi="Times New Roman" w:cs="Times New Roman"/>
          <w:sz w:val="24"/>
          <w:szCs w:val="24"/>
          <w:lang w:eastAsia="tr-TR"/>
        </w:rPr>
        <w:t xml:space="preserve"> yıllarına ilişkin olarak sunulacak bütçe tekliflerinde söz konusu göstergeler dikkate alınacaktır. </w:t>
      </w:r>
    </w:p>
    <w:p w:rsidR="002D5A7B" w:rsidRPr="00932F51" w:rsidRDefault="002D5A7B" w:rsidP="00FF6634">
      <w:pPr>
        <w:spacing w:after="120"/>
        <w:ind w:firstLine="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1- Temel Makroekonomik Göstergeler</w:t>
      </w:r>
      <w:r w:rsidR="00D274F6" w:rsidRPr="00932F51">
        <w:rPr>
          <w:rFonts w:ascii="Times New Roman" w:eastAsia="Times New Roman" w:hAnsi="Times New Roman" w:cs="Times New Roman"/>
          <w:b/>
          <w:sz w:val="24"/>
          <w:szCs w:val="24"/>
          <w:lang w:eastAsia="tr-TR"/>
        </w:rPr>
        <w:t xml:space="preserve"> </w:t>
      </w:r>
    </w:p>
    <w:tbl>
      <w:tblPr>
        <w:tblW w:w="86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843"/>
        <w:gridCol w:w="1269"/>
        <w:gridCol w:w="1269"/>
        <w:gridCol w:w="1269"/>
      </w:tblGrid>
      <w:tr w:rsidR="00932F51" w:rsidRPr="00932F51" w:rsidTr="00E3694C">
        <w:trPr>
          <w:trHeight w:val="170"/>
          <w:jc w:val="center"/>
        </w:trPr>
        <w:tc>
          <w:tcPr>
            <w:tcW w:w="4330" w:type="dxa"/>
            <w:noWrap/>
            <w:vAlign w:val="bottom"/>
          </w:tcPr>
          <w:p w:rsidR="002D5A7B" w:rsidRPr="00932F51" w:rsidRDefault="002D5A7B" w:rsidP="00933401">
            <w:pPr>
              <w:spacing w:after="0"/>
              <w:jc w:val="center"/>
              <w:rPr>
                <w:rFonts w:ascii="Times New Roman" w:eastAsia="Batang" w:hAnsi="Times New Roman" w:cs="Times New Roman"/>
                <w:b/>
                <w:bCs/>
                <w:sz w:val="24"/>
                <w:szCs w:val="24"/>
                <w:lang w:eastAsia="ko-KR"/>
              </w:rPr>
            </w:pPr>
          </w:p>
        </w:tc>
        <w:tc>
          <w:tcPr>
            <w:tcW w:w="1134" w:type="dxa"/>
            <w:noWrap/>
            <w:vAlign w:val="center"/>
            <w:hideMark/>
          </w:tcPr>
          <w:p w:rsidR="002D5A7B" w:rsidRPr="00E3694C" w:rsidRDefault="002D5A7B" w:rsidP="00FA6198">
            <w:pPr>
              <w:spacing w:after="0"/>
              <w:jc w:val="center"/>
              <w:rPr>
                <w:rFonts w:ascii="Times New Roman" w:eastAsia="Batang" w:hAnsi="Times New Roman" w:cs="Times New Roman"/>
                <w:b/>
                <w:bCs/>
                <w:sz w:val="24"/>
                <w:szCs w:val="24"/>
                <w:lang w:eastAsia="ko-KR"/>
              </w:rPr>
            </w:pPr>
            <w:r w:rsidRPr="00E3694C">
              <w:rPr>
                <w:rFonts w:ascii="Times New Roman" w:eastAsia="Batang" w:hAnsi="Times New Roman" w:cs="Times New Roman"/>
                <w:b/>
                <w:bCs/>
                <w:sz w:val="24"/>
                <w:szCs w:val="24"/>
                <w:lang w:eastAsia="ko-KR"/>
              </w:rPr>
              <w:t>201</w:t>
            </w:r>
            <w:r w:rsidR="00FA6198" w:rsidRPr="00E3694C">
              <w:rPr>
                <w:rFonts w:ascii="Times New Roman" w:eastAsia="Batang" w:hAnsi="Times New Roman" w:cs="Times New Roman"/>
                <w:b/>
                <w:bCs/>
                <w:sz w:val="24"/>
                <w:szCs w:val="24"/>
                <w:lang w:eastAsia="ko-KR"/>
              </w:rPr>
              <w:t>8</w:t>
            </w:r>
          </w:p>
        </w:tc>
        <w:tc>
          <w:tcPr>
            <w:tcW w:w="1134" w:type="dxa"/>
            <w:noWrap/>
            <w:vAlign w:val="center"/>
            <w:hideMark/>
          </w:tcPr>
          <w:p w:rsidR="002D5A7B" w:rsidRPr="00E3694C" w:rsidRDefault="002D5A7B" w:rsidP="00FA6198">
            <w:pPr>
              <w:spacing w:after="0"/>
              <w:jc w:val="center"/>
              <w:rPr>
                <w:rFonts w:ascii="Times New Roman" w:eastAsia="Batang" w:hAnsi="Times New Roman" w:cs="Times New Roman"/>
                <w:b/>
                <w:bCs/>
                <w:sz w:val="24"/>
                <w:szCs w:val="24"/>
                <w:lang w:eastAsia="ko-KR"/>
              </w:rPr>
            </w:pPr>
            <w:r w:rsidRPr="00E3694C">
              <w:rPr>
                <w:rFonts w:ascii="Times New Roman" w:eastAsia="Batang" w:hAnsi="Times New Roman" w:cs="Times New Roman"/>
                <w:b/>
                <w:bCs/>
                <w:sz w:val="24"/>
                <w:szCs w:val="24"/>
                <w:lang w:eastAsia="ko-KR"/>
              </w:rPr>
              <w:t>201</w:t>
            </w:r>
            <w:r w:rsidR="00FA6198" w:rsidRPr="00E3694C">
              <w:rPr>
                <w:rFonts w:ascii="Times New Roman" w:eastAsia="Batang" w:hAnsi="Times New Roman" w:cs="Times New Roman"/>
                <w:b/>
                <w:bCs/>
                <w:sz w:val="24"/>
                <w:szCs w:val="24"/>
                <w:lang w:eastAsia="ko-KR"/>
              </w:rPr>
              <w:t>9</w:t>
            </w:r>
          </w:p>
        </w:tc>
        <w:tc>
          <w:tcPr>
            <w:tcW w:w="1134" w:type="dxa"/>
            <w:noWrap/>
            <w:vAlign w:val="center"/>
            <w:hideMark/>
          </w:tcPr>
          <w:p w:rsidR="002D5A7B" w:rsidRPr="00E3694C" w:rsidRDefault="002D5A7B" w:rsidP="00FA6198">
            <w:pPr>
              <w:spacing w:after="0"/>
              <w:jc w:val="center"/>
              <w:rPr>
                <w:rFonts w:ascii="Times New Roman" w:eastAsia="Batang" w:hAnsi="Times New Roman" w:cs="Times New Roman"/>
                <w:b/>
                <w:bCs/>
                <w:sz w:val="24"/>
                <w:szCs w:val="24"/>
                <w:lang w:eastAsia="ko-KR"/>
              </w:rPr>
            </w:pPr>
            <w:r w:rsidRPr="00E3694C">
              <w:rPr>
                <w:rFonts w:ascii="Times New Roman" w:eastAsia="Batang" w:hAnsi="Times New Roman" w:cs="Times New Roman"/>
                <w:b/>
                <w:bCs/>
                <w:sz w:val="24"/>
                <w:szCs w:val="24"/>
                <w:lang w:eastAsia="ko-KR"/>
              </w:rPr>
              <w:t>20</w:t>
            </w:r>
            <w:r w:rsidR="00FA6198" w:rsidRPr="00E3694C">
              <w:rPr>
                <w:rFonts w:ascii="Times New Roman" w:eastAsia="Batang" w:hAnsi="Times New Roman" w:cs="Times New Roman"/>
                <w:b/>
                <w:bCs/>
                <w:sz w:val="24"/>
                <w:szCs w:val="24"/>
                <w:lang w:eastAsia="ko-KR"/>
              </w:rPr>
              <w:t>20</w:t>
            </w:r>
          </w:p>
        </w:tc>
      </w:tr>
      <w:tr w:rsidR="00932F51" w:rsidRPr="00932F51" w:rsidTr="00E3694C">
        <w:trPr>
          <w:trHeight w:val="170"/>
          <w:jc w:val="center"/>
        </w:trPr>
        <w:tc>
          <w:tcPr>
            <w:tcW w:w="4330" w:type="dxa"/>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GSYH Büyümesi (%, Sabit Fiyatlarla)</w:t>
            </w:r>
          </w:p>
        </w:tc>
        <w:tc>
          <w:tcPr>
            <w:tcW w:w="1134" w:type="dxa"/>
            <w:noWrap/>
            <w:vAlign w:val="bottom"/>
          </w:tcPr>
          <w:p w:rsidR="002D5A7B" w:rsidRPr="006F107A" w:rsidRDefault="00E3694C" w:rsidP="006F107A">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5,5</w:t>
            </w:r>
          </w:p>
        </w:tc>
        <w:tc>
          <w:tcPr>
            <w:tcW w:w="1134" w:type="dxa"/>
            <w:noWrap/>
            <w:vAlign w:val="bottom"/>
          </w:tcPr>
          <w:p w:rsidR="002D5A7B" w:rsidRPr="006F107A" w:rsidRDefault="00E3694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5,5</w:t>
            </w:r>
          </w:p>
        </w:tc>
        <w:tc>
          <w:tcPr>
            <w:tcW w:w="1134" w:type="dxa"/>
            <w:noWrap/>
            <w:vAlign w:val="bottom"/>
          </w:tcPr>
          <w:p w:rsidR="002D5A7B" w:rsidRPr="006F107A" w:rsidRDefault="00E3694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5,5</w:t>
            </w:r>
          </w:p>
        </w:tc>
      </w:tr>
      <w:tr w:rsidR="00932F51" w:rsidRPr="00932F51" w:rsidTr="00E3694C">
        <w:trPr>
          <w:trHeight w:val="170"/>
          <w:jc w:val="center"/>
        </w:trPr>
        <w:tc>
          <w:tcPr>
            <w:tcW w:w="4330" w:type="dxa"/>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GSYH (Milyar TL, Cari Fiyatlarla)</w:t>
            </w:r>
          </w:p>
        </w:tc>
        <w:tc>
          <w:tcPr>
            <w:tcW w:w="1134" w:type="dxa"/>
            <w:noWrap/>
            <w:vAlign w:val="bottom"/>
          </w:tcPr>
          <w:p w:rsidR="002D5A7B" w:rsidRPr="006F107A" w:rsidRDefault="00E3694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3.446</w:t>
            </w:r>
          </w:p>
        </w:tc>
        <w:tc>
          <w:tcPr>
            <w:tcW w:w="1134" w:type="dxa"/>
            <w:noWrap/>
            <w:vAlign w:val="bottom"/>
          </w:tcPr>
          <w:p w:rsidR="002D5A7B" w:rsidRPr="006F107A" w:rsidRDefault="008529C6" w:rsidP="006F107A">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E3694C">
              <w:rPr>
                <w:rFonts w:ascii="Times New Roman" w:eastAsia="Times New Roman" w:hAnsi="Times New Roman" w:cs="Times New Roman"/>
                <w:sz w:val="24"/>
                <w:szCs w:val="24"/>
                <w:lang w:eastAsia="tr-TR"/>
              </w:rPr>
              <w:t>872</w:t>
            </w:r>
          </w:p>
        </w:tc>
        <w:tc>
          <w:tcPr>
            <w:tcW w:w="1134" w:type="dxa"/>
            <w:noWrap/>
            <w:vAlign w:val="bottom"/>
          </w:tcPr>
          <w:p w:rsidR="002D5A7B" w:rsidRPr="006F107A" w:rsidRDefault="00E3694C" w:rsidP="006F107A">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4.321</w:t>
            </w:r>
          </w:p>
        </w:tc>
      </w:tr>
      <w:tr w:rsidR="0020312C" w:rsidRPr="00932F51" w:rsidTr="00E3694C">
        <w:trPr>
          <w:trHeight w:val="170"/>
          <w:jc w:val="center"/>
        </w:trPr>
        <w:tc>
          <w:tcPr>
            <w:tcW w:w="4330" w:type="dxa"/>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TÜFE Yılsonu (%)</w:t>
            </w:r>
          </w:p>
        </w:tc>
        <w:tc>
          <w:tcPr>
            <w:tcW w:w="1134" w:type="dxa"/>
            <w:noWrap/>
            <w:vAlign w:val="bottom"/>
          </w:tcPr>
          <w:p w:rsidR="002D5A7B" w:rsidRPr="00932F51" w:rsidRDefault="00E3694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7,0</w:t>
            </w:r>
          </w:p>
        </w:tc>
        <w:tc>
          <w:tcPr>
            <w:tcW w:w="1134" w:type="dxa"/>
            <w:noWrap/>
            <w:vAlign w:val="bottom"/>
          </w:tcPr>
          <w:p w:rsidR="002D5A7B" w:rsidRPr="00932F51" w:rsidRDefault="00E3694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w:t>
            </w:r>
          </w:p>
        </w:tc>
        <w:tc>
          <w:tcPr>
            <w:tcW w:w="1134" w:type="dxa"/>
            <w:noWrap/>
            <w:vAlign w:val="bottom"/>
          </w:tcPr>
          <w:p w:rsidR="002D5A7B" w:rsidRPr="00932F51" w:rsidRDefault="00E3694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w:t>
            </w:r>
          </w:p>
        </w:tc>
      </w:tr>
    </w:tbl>
    <w:p w:rsidR="002D5A7B" w:rsidRDefault="002D5A7B" w:rsidP="00933401">
      <w:pPr>
        <w:tabs>
          <w:tab w:val="left" w:pos="900"/>
        </w:tabs>
        <w:spacing w:before="240" w:after="120"/>
        <w:ind w:firstLine="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Bütçe Giderlerine İlişkin Temel Politikalar</w:t>
      </w:r>
    </w:p>
    <w:p w:rsidR="00C02F56" w:rsidRDefault="00150B72"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8. </w:t>
      </w:r>
      <w:r w:rsidR="00D041E7" w:rsidRPr="00E3694C">
        <w:rPr>
          <w:rFonts w:ascii="Times New Roman" w:eastAsia="Times New Roman" w:hAnsi="Times New Roman" w:cs="Times New Roman"/>
          <w:sz w:val="24"/>
          <w:szCs w:val="24"/>
          <w:lang w:eastAsia="tr-TR"/>
        </w:rPr>
        <w:t>201</w:t>
      </w:r>
      <w:r w:rsidR="00407FE9" w:rsidRPr="00E3694C">
        <w:rPr>
          <w:rFonts w:ascii="Times New Roman" w:eastAsia="Times New Roman" w:hAnsi="Times New Roman" w:cs="Times New Roman"/>
          <w:sz w:val="24"/>
          <w:szCs w:val="24"/>
          <w:lang w:eastAsia="tr-TR"/>
        </w:rPr>
        <w:t>8</w:t>
      </w:r>
      <w:r w:rsidR="00D041E7" w:rsidRPr="00E3694C">
        <w:rPr>
          <w:rFonts w:ascii="Times New Roman" w:eastAsia="Times New Roman" w:hAnsi="Times New Roman" w:cs="Times New Roman"/>
          <w:sz w:val="24"/>
          <w:szCs w:val="24"/>
          <w:lang w:eastAsia="tr-TR"/>
        </w:rPr>
        <w:t>-20</w:t>
      </w:r>
      <w:r w:rsidR="00407FE9" w:rsidRPr="00E3694C">
        <w:rPr>
          <w:rFonts w:ascii="Times New Roman" w:eastAsia="Times New Roman" w:hAnsi="Times New Roman" w:cs="Times New Roman"/>
          <w:sz w:val="24"/>
          <w:szCs w:val="24"/>
          <w:lang w:eastAsia="tr-TR"/>
        </w:rPr>
        <w:t>20</w:t>
      </w:r>
      <w:r w:rsidR="00D041E7" w:rsidRPr="00E3694C">
        <w:rPr>
          <w:rFonts w:ascii="Times New Roman" w:eastAsia="Times New Roman" w:hAnsi="Times New Roman" w:cs="Times New Roman"/>
          <w:sz w:val="24"/>
          <w:szCs w:val="24"/>
          <w:lang w:eastAsia="tr-TR"/>
        </w:rPr>
        <w:t xml:space="preserve"> </w:t>
      </w:r>
      <w:r w:rsidR="002D5A7B" w:rsidRPr="00E3694C">
        <w:rPr>
          <w:rFonts w:ascii="Times New Roman" w:eastAsia="Times New Roman" w:hAnsi="Times New Roman" w:cs="Times New Roman"/>
          <w:sz w:val="24"/>
          <w:szCs w:val="24"/>
          <w:lang w:eastAsia="tr-TR"/>
        </w:rPr>
        <w:t xml:space="preserve">döneminde, kamu harcama politikasının çok yıllı bütçeleme yaklaşımı </w:t>
      </w:r>
      <w:r w:rsidR="005E6868" w:rsidRPr="00E3694C">
        <w:rPr>
          <w:rFonts w:ascii="Times New Roman" w:eastAsia="Times New Roman" w:hAnsi="Times New Roman" w:cs="Times New Roman"/>
          <w:sz w:val="24"/>
          <w:szCs w:val="24"/>
          <w:lang w:eastAsia="tr-TR"/>
        </w:rPr>
        <w:t>çerçevesinde</w:t>
      </w:r>
      <w:r w:rsidR="002D5A7B" w:rsidRPr="00E3694C">
        <w:rPr>
          <w:rFonts w:ascii="Times New Roman" w:eastAsia="Times New Roman" w:hAnsi="Times New Roman" w:cs="Times New Roman"/>
          <w:sz w:val="24"/>
          <w:szCs w:val="24"/>
          <w:lang w:eastAsia="tr-TR"/>
        </w:rPr>
        <w:t xml:space="preserve">, </w:t>
      </w:r>
      <w:r w:rsidR="005E6868" w:rsidRPr="00E3694C">
        <w:rPr>
          <w:rFonts w:ascii="Times New Roman" w:eastAsia="Times New Roman" w:hAnsi="Times New Roman" w:cs="Times New Roman"/>
          <w:sz w:val="24"/>
          <w:szCs w:val="24"/>
          <w:lang w:eastAsia="tr-TR"/>
        </w:rPr>
        <w:t xml:space="preserve">belirlenen politika öncelikleri </w:t>
      </w:r>
      <w:r w:rsidR="005E6868" w:rsidRPr="00A677ED">
        <w:rPr>
          <w:rFonts w:ascii="Times New Roman" w:eastAsia="Times New Roman" w:hAnsi="Times New Roman" w:cs="Times New Roman"/>
          <w:sz w:val="24"/>
          <w:szCs w:val="24"/>
          <w:lang w:eastAsia="tr-TR"/>
        </w:rPr>
        <w:t xml:space="preserve">dikkate alınarak ve </w:t>
      </w:r>
      <w:r w:rsidR="002D5A7B" w:rsidRPr="00A677ED">
        <w:rPr>
          <w:rFonts w:ascii="Times New Roman" w:eastAsia="Times New Roman" w:hAnsi="Times New Roman" w:cs="Times New Roman"/>
          <w:sz w:val="24"/>
          <w:szCs w:val="24"/>
          <w:lang w:eastAsia="tr-TR"/>
        </w:rPr>
        <w:t xml:space="preserve">kamu idarelerine tahsis edilen ödenek tavanları </w:t>
      </w:r>
      <w:r w:rsidR="005E6868" w:rsidRPr="00A677ED">
        <w:rPr>
          <w:rFonts w:ascii="Times New Roman" w:eastAsia="Times New Roman" w:hAnsi="Times New Roman" w:cs="Times New Roman"/>
          <w:sz w:val="24"/>
          <w:szCs w:val="24"/>
          <w:lang w:eastAsia="tr-TR"/>
        </w:rPr>
        <w:t xml:space="preserve">doğrultusunda </w:t>
      </w:r>
      <w:r w:rsidR="004B53A7" w:rsidRPr="00A677ED">
        <w:rPr>
          <w:rFonts w:ascii="Times New Roman" w:eastAsia="Times New Roman" w:hAnsi="Times New Roman" w:cs="Times New Roman"/>
          <w:sz w:val="24"/>
          <w:szCs w:val="24"/>
          <w:lang w:eastAsia="tr-TR"/>
        </w:rPr>
        <w:t xml:space="preserve">yürütülmesi esas olacaktır. </w:t>
      </w:r>
    </w:p>
    <w:p w:rsidR="009A3954" w:rsidRPr="0042192E" w:rsidRDefault="00150B72" w:rsidP="009A3954">
      <w:pPr>
        <w:spacing w:after="120"/>
        <w:ind w:firstLine="567"/>
        <w:jc w:val="both"/>
      </w:pPr>
      <w:r>
        <w:rPr>
          <w:rFonts w:ascii="Times New Roman" w:eastAsia="Calibri" w:hAnsi="Times New Roman" w:cs="Times New Roman"/>
          <w:sz w:val="24"/>
          <w:szCs w:val="24"/>
        </w:rPr>
        <w:t xml:space="preserve">9. </w:t>
      </w:r>
      <w:r w:rsidR="009A3954" w:rsidRPr="00774E7C">
        <w:rPr>
          <w:rFonts w:ascii="Times New Roman" w:eastAsia="Calibri" w:hAnsi="Times New Roman" w:cs="Times New Roman"/>
          <w:sz w:val="24"/>
          <w:szCs w:val="24"/>
        </w:rPr>
        <w:t>Bütçeleme süreçlerinde</w:t>
      </w:r>
      <w:r w:rsidR="009A3954">
        <w:rPr>
          <w:rFonts w:ascii="Times New Roman" w:eastAsia="Calibri" w:hAnsi="Times New Roman" w:cs="Times New Roman"/>
          <w:sz w:val="24"/>
          <w:szCs w:val="24"/>
        </w:rPr>
        <w:t>,</w:t>
      </w:r>
      <w:r w:rsidR="009A3954" w:rsidRPr="00774E7C">
        <w:rPr>
          <w:rFonts w:ascii="Times New Roman" w:eastAsia="Calibri" w:hAnsi="Times New Roman" w:cs="Times New Roman"/>
          <w:sz w:val="24"/>
          <w:szCs w:val="24"/>
        </w:rPr>
        <w:t xml:space="preserve"> kamu kaynağıyla elde edilen çıktı ve sonuçların daha etkin bir şekilde ilişkilendirilmesi amacıyla merkezi yönetim kapsamındaki kamu idarelerinde, kamu hizmetlerini program yaklaşımıyla ele alan bütçe yapısına</w:t>
      </w:r>
      <w:r w:rsidR="009A3954" w:rsidRPr="00FB0899">
        <w:rPr>
          <w:rFonts w:ascii="Times New Roman" w:eastAsia="Calibri" w:hAnsi="Times New Roman" w:cs="Times New Roman"/>
          <w:color w:val="FF0000"/>
          <w:sz w:val="24"/>
          <w:szCs w:val="24"/>
        </w:rPr>
        <w:t xml:space="preserve"> </w:t>
      </w:r>
      <w:r w:rsidR="009A3954" w:rsidRPr="00170948">
        <w:rPr>
          <w:rFonts w:ascii="Times New Roman" w:eastAsia="Calibri" w:hAnsi="Times New Roman" w:cs="Times New Roman"/>
          <w:sz w:val="24"/>
          <w:szCs w:val="24"/>
        </w:rPr>
        <w:t xml:space="preserve">kademeli olarak </w:t>
      </w:r>
      <w:r w:rsidR="009A3954" w:rsidRPr="0042192E">
        <w:rPr>
          <w:rFonts w:ascii="Times New Roman" w:eastAsia="Calibri" w:hAnsi="Times New Roman" w:cs="Times New Roman"/>
          <w:sz w:val="24"/>
          <w:szCs w:val="24"/>
        </w:rPr>
        <w:t>geçilmesine yönelik çalışmalar tamamlanacaktır.</w:t>
      </w:r>
      <w:r w:rsidR="009A3954" w:rsidRPr="0042192E">
        <w:t xml:space="preserve"> </w:t>
      </w:r>
    </w:p>
    <w:p w:rsidR="00E870C5" w:rsidRPr="006731CB" w:rsidRDefault="007050B2" w:rsidP="007050B2">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10.</w:t>
      </w:r>
      <w:r w:rsidR="00C04914" w:rsidRPr="006731CB">
        <w:rPr>
          <w:rFonts w:ascii="Times New Roman" w:eastAsia="Times New Roman" w:hAnsi="Times New Roman" w:cs="Times New Roman"/>
          <w:sz w:val="24"/>
          <w:szCs w:val="24"/>
          <w:lang w:eastAsia="tr-TR"/>
        </w:rPr>
        <w:t>Kaynak kullanımında etkinliği artırmak ve hesap verebilirliği güçlendirmek amacıyla, kamu harcamalar</w:t>
      </w:r>
      <w:r w:rsidR="00AC0CA9" w:rsidRPr="006731CB">
        <w:rPr>
          <w:rFonts w:ascii="Times New Roman" w:eastAsia="Times New Roman" w:hAnsi="Times New Roman" w:cs="Times New Roman"/>
          <w:sz w:val="24"/>
          <w:szCs w:val="24"/>
          <w:lang w:eastAsia="tr-TR"/>
        </w:rPr>
        <w:t>ına ilişkin karar alma süreçlerinde kamu kaynağının karşılığının en iyi şekilde alınmasına yönelik</w:t>
      </w:r>
      <w:r w:rsidR="00E870C5" w:rsidRPr="006731CB">
        <w:rPr>
          <w:rFonts w:ascii="Times New Roman" w:eastAsia="Times New Roman" w:hAnsi="Times New Roman" w:cs="Times New Roman"/>
          <w:sz w:val="24"/>
          <w:szCs w:val="24"/>
          <w:lang w:eastAsia="tr-TR"/>
        </w:rPr>
        <w:t xml:space="preserve"> </w:t>
      </w:r>
      <w:r w:rsidR="007F5CB2" w:rsidRPr="006731CB">
        <w:rPr>
          <w:rFonts w:ascii="Times New Roman" w:eastAsia="Times New Roman" w:hAnsi="Times New Roman" w:cs="Times New Roman"/>
          <w:sz w:val="24"/>
          <w:szCs w:val="24"/>
          <w:lang w:eastAsia="tr-TR"/>
        </w:rPr>
        <w:t>çalışmalar yapılacaktır.</w:t>
      </w:r>
      <w:r w:rsidR="00C04914" w:rsidRPr="006731CB">
        <w:rPr>
          <w:rFonts w:ascii="Times New Roman" w:eastAsia="Times New Roman" w:hAnsi="Times New Roman" w:cs="Times New Roman"/>
          <w:sz w:val="24"/>
          <w:szCs w:val="24"/>
          <w:lang w:eastAsia="tr-TR"/>
        </w:rPr>
        <w:t xml:space="preserve"> </w:t>
      </w:r>
      <w:r w:rsidR="000E6D84" w:rsidRPr="006731CB">
        <w:rPr>
          <w:rFonts w:ascii="Times New Roman" w:eastAsia="Times New Roman" w:hAnsi="Times New Roman" w:cs="Times New Roman"/>
          <w:sz w:val="24"/>
          <w:szCs w:val="24"/>
          <w:lang w:eastAsia="tr-TR"/>
        </w:rPr>
        <w:t xml:space="preserve">Yapılan </w:t>
      </w:r>
      <w:r w:rsidR="007F5CB2" w:rsidRPr="006731CB">
        <w:rPr>
          <w:rFonts w:ascii="Times New Roman" w:eastAsia="Times New Roman" w:hAnsi="Times New Roman" w:cs="Times New Roman"/>
          <w:sz w:val="24"/>
          <w:szCs w:val="24"/>
          <w:lang w:eastAsia="tr-TR"/>
        </w:rPr>
        <w:t>değerlendirmeler</w:t>
      </w:r>
      <w:r w:rsidR="00C04914" w:rsidRPr="006731CB">
        <w:rPr>
          <w:rFonts w:ascii="Times New Roman" w:eastAsia="Times New Roman" w:hAnsi="Times New Roman" w:cs="Times New Roman"/>
          <w:sz w:val="24"/>
          <w:szCs w:val="24"/>
          <w:lang w:eastAsia="tr-TR"/>
        </w:rPr>
        <w:t xml:space="preserve"> sonucunda verimli olmadığı belirlenen harcama programları kaldırılacaktır. </w:t>
      </w:r>
      <w:r w:rsidR="004E53DE" w:rsidRPr="006731CB">
        <w:rPr>
          <w:rFonts w:ascii="Times New Roman" w:eastAsia="Times New Roman" w:hAnsi="Times New Roman" w:cs="Times New Roman"/>
          <w:sz w:val="24"/>
          <w:szCs w:val="24"/>
          <w:lang w:eastAsia="tr-TR"/>
        </w:rPr>
        <w:t>Mali yükleri ve etki analizleri</w:t>
      </w:r>
      <w:r w:rsidR="00BA3CFE" w:rsidRPr="006731CB">
        <w:rPr>
          <w:rFonts w:ascii="Times New Roman" w:eastAsia="Times New Roman" w:hAnsi="Times New Roman" w:cs="Times New Roman"/>
          <w:sz w:val="24"/>
          <w:szCs w:val="24"/>
          <w:lang w:eastAsia="tr-TR"/>
        </w:rPr>
        <w:t xml:space="preserve"> de</w:t>
      </w:r>
      <w:r w:rsidR="004E53DE" w:rsidRPr="006731CB">
        <w:rPr>
          <w:rFonts w:ascii="Times New Roman" w:eastAsia="Times New Roman" w:hAnsi="Times New Roman" w:cs="Times New Roman"/>
          <w:sz w:val="24"/>
          <w:szCs w:val="24"/>
          <w:lang w:eastAsia="tr-TR"/>
        </w:rPr>
        <w:t xml:space="preserve"> dikkate alınarak yeni harcama programı oluşturulması sınırlandırılacaktır.</w:t>
      </w:r>
    </w:p>
    <w:p w:rsidR="00E870C5" w:rsidRPr="006731CB" w:rsidRDefault="00150B72" w:rsidP="00E870C5">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 xml:space="preserve">11. </w:t>
      </w:r>
      <w:r w:rsidR="00E870C5" w:rsidRPr="006731CB">
        <w:rPr>
          <w:rFonts w:ascii="Times New Roman" w:eastAsia="Times New Roman" w:hAnsi="Times New Roman" w:cs="Times New Roman"/>
          <w:sz w:val="24"/>
          <w:szCs w:val="24"/>
          <w:lang w:eastAsia="tr-TR"/>
        </w:rPr>
        <w:t>Cari harcamalar,</w:t>
      </w:r>
      <w:r w:rsidR="002B1D21" w:rsidRPr="006731CB">
        <w:rPr>
          <w:rFonts w:ascii="Times New Roman" w:eastAsia="Times New Roman" w:hAnsi="Times New Roman" w:cs="Times New Roman"/>
          <w:sz w:val="24"/>
          <w:szCs w:val="24"/>
          <w:lang w:eastAsia="tr-TR"/>
        </w:rPr>
        <w:t xml:space="preserve"> yatırım harcamaları ile eş güdüm halin</w:t>
      </w:r>
      <w:r w:rsidR="00E870C5" w:rsidRPr="006731CB">
        <w:rPr>
          <w:rFonts w:ascii="Times New Roman" w:eastAsia="Times New Roman" w:hAnsi="Times New Roman" w:cs="Times New Roman"/>
          <w:sz w:val="24"/>
          <w:szCs w:val="24"/>
          <w:lang w:eastAsia="tr-TR"/>
        </w:rPr>
        <w:t>de kontrol altında tutulacak,</w:t>
      </w:r>
      <w:r w:rsidR="002B1D21" w:rsidRPr="006731CB">
        <w:rPr>
          <w:rFonts w:ascii="Times New Roman" w:eastAsia="Times New Roman" w:hAnsi="Times New Roman" w:cs="Times New Roman"/>
          <w:sz w:val="24"/>
          <w:szCs w:val="24"/>
          <w:lang w:eastAsia="tr-TR"/>
        </w:rPr>
        <w:t xml:space="preserve"> </w:t>
      </w:r>
      <w:r w:rsidR="00E870C5" w:rsidRPr="006731CB">
        <w:rPr>
          <w:rFonts w:ascii="Times New Roman" w:eastAsia="Times New Roman" w:hAnsi="Times New Roman" w:cs="Times New Roman"/>
          <w:sz w:val="24"/>
          <w:szCs w:val="24"/>
          <w:lang w:eastAsia="tr-TR"/>
        </w:rPr>
        <w:t>bütçe giderlerinde</w:t>
      </w:r>
      <w:r w:rsidR="002B1D21" w:rsidRPr="006731CB">
        <w:rPr>
          <w:rFonts w:ascii="Times New Roman" w:eastAsia="Times New Roman" w:hAnsi="Times New Roman" w:cs="Times New Roman"/>
          <w:sz w:val="24"/>
          <w:szCs w:val="24"/>
          <w:lang w:eastAsia="tr-TR"/>
        </w:rPr>
        <w:t xml:space="preserve"> yapıl</w:t>
      </w:r>
      <w:r w:rsidR="000E6D84" w:rsidRPr="006731CB">
        <w:rPr>
          <w:rFonts w:ascii="Times New Roman" w:eastAsia="Times New Roman" w:hAnsi="Times New Roman" w:cs="Times New Roman"/>
          <w:sz w:val="24"/>
          <w:szCs w:val="24"/>
          <w:lang w:eastAsia="tr-TR"/>
        </w:rPr>
        <w:t>abilecek tasarruflar belirlenecektir.</w:t>
      </w:r>
      <w:r w:rsidR="002B1D21" w:rsidRPr="006731CB">
        <w:rPr>
          <w:rFonts w:ascii="Times New Roman" w:eastAsia="Times New Roman" w:hAnsi="Times New Roman" w:cs="Times New Roman"/>
          <w:sz w:val="24"/>
          <w:szCs w:val="24"/>
          <w:lang w:eastAsia="tr-TR"/>
        </w:rPr>
        <w:t xml:space="preserve"> </w:t>
      </w:r>
    </w:p>
    <w:p w:rsidR="00D6032E" w:rsidRPr="006731CB" w:rsidRDefault="00150B72" w:rsidP="003172CA">
      <w:pPr>
        <w:spacing w:after="120"/>
        <w:ind w:firstLine="567"/>
        <w:jc w:val="both"/>
        <w:rPr>
          <w:rFonts w:ascii="Times New Roman" w:eastAsia="Times New Roman" w:hAnsi="Times New Roman" w:cs="Times New Roman"/>
          <w:sz w:val="24"/>
          <w:szCs w:val="24"/>
          <w:lang w:eastAsia="tr-TR"/>
        </w:rPr>
      </w:pPr>
      <w:r w:rsidRPr="006731CB">
        <w:rPr>
          <w:rFonts w:ascii="Times New Roman" w:eastAsia="Calibri" w:hAnsi="Times New Roman" w:cs="Times New Roman"/>
          <w:sz w:val="24"/>
          <w:szCs w:val="24"/>
        </w:rPr>
        <w:t xml:space="preserve">12. </w:t>
      </w:r>
      <w:r w:rsidR="00B04955" w:rsidRPr="006731CB">
        <w:rPr>
          <w:rFonts w:ascii="Times New Roman" w:eastAsia="Calibri" w:hAnsi="Times New Roman" w:cs="Times New Roman"/>
          <w:sz w:val="24"/>
          <w:szCs w:val="24"/>
        </w:rPr>
        <w:t xml:space="preserve">Kiralamalar ve hizmet alımları öncelikli olmak üzere harcama artış eğilimi yüksek olan ödenekler, ihtiyaca uygunluk, maliyet ve etkinlik analizleri çerçevesinde tekrar değerlendirilecektir. </w:t>
      </w:r>
      <w:r w:rsidR="00EA445D" w:rsidRPr="006731CB">
        <w:rPr>
          <w:rFonts w:ascii="Times New Roman" w:eastAsia="Calibri" w:hAnsi="Times New Roman" w:cs="Times New Roman"/>
          <w:sz w:val="24"/>
          <w:szCs w:val="24"/>
        </w:rPr>
        <w:t xml:space="preserve">İdarelerin </w:t>
      </w:r>
      <w:r w:rsidR="00CC0DAB" w:rsidRPr="006731CB">
        <w:rPr>
          <w:rFonts w:ascii="Times New Roman" w:eastAsia="Calibri" w:hAnsi="Times New Roman" w:cs="Times New Roman"/>
          <w:sz w:val="24"/>
          <w:szCs w:val="24"/>
        </w:rPr>
        <w:t>ihtiyaç tespiti</w:t>
      </w:r>
      <w:r w:rsidR="009E3839" w:rsidRPr="006731CB">
        <w:rPr>
          <w:rFonts w:ascii="Times New Roman" w:eastAsia="Calibri" w:hAnsi="Times New Roman" w:cs="Times New Roman"/>
          <w:sz w:val="24"/>
          <w:szCs w:val="24"/>
        </w:rPr>
        <w:t>nde</w:t>
      </w:r>
      <w:r w:rsidR="00CC0DAB" w:rsidRPr="006731CB">
        <w:rPr>
          <w:rFonts w:ascii="Times New Roman" w:eastAsia="Calibri" w:hAnsi="Times New Roman" w:cs="Times New Roman"/>
          <w:sz w:val="24"/>
          <w:szCs w:val="24"/>
        </w:rPr>
        <w:t>, mevcut mal ve malzemelerin etkin ve ekonomik kullanılmasını sağlayacak stok yönetimi gibi karar alma süreçleri</w:t>
      </w:r>
      <w:r w:rsidR="00EA445D" w:rsidRPr="006731CB">
        <w:rPr>
          <w:rFonts w:ascii="Times New Roman" w:eastAsia="Calibri" w:hAnsi="Times New Roman" w:cs="Times New Roman"/>
          <w:sz w:val="24"/>
          <w:szCs w:val="24"/>
        </w:rPr>
        <w:t>ni</w:t>
      </w:r>
      <w:r w:rsidR="00CC0DAB" w:rsidRPr="006731CB">
        <w:rPr>
          <w:rFonts w:ascii="Times New Roman" w:eastAsia="Calibri" w:hAnsi="Times New Roman" w:cs="Times New Roman"/>
          <w:sz w:val="24"/>
          <w:szCs w:val="24"/>
        </w:rPr>
        <w:t xml:space="preserve"> güçlendirecek</w:t>
      </w:r>
      <w:r w:rsidR="00EA445D" w:rsidRPr="006731CB">
        <w:rPr>
          <w:rFonts w:ascii="Times New Roman" w:eastAsia="Calibri" w:hAnsi="Times New Roman" w:cs="Times New Roman"/>
          <w:sz w:val="24"/>
          <w:szCs w:val="24"/>
        </w:rPr>
        <w:t xml:space="preserve"> uygulamalara ağırlık verilecek</w:t>
      </w:r>
      <w:r w:rsidR="00CC0DAB" w:rsidRPr="006731CB">
        <w:rPr>
          <w:rFonts w:ascii="Times New Roman" w:eastAsia="Calibri" w:hAnsi="Times New Roman" w:cs="Times New Roman"/>
          <w:sz w:val="24"/>
          <w:szCs w:val="24"/>
        </w:rPr>
        <w:t>tir.</w:t>
      </w:r>
      <w:r w:rsidR="002B1D21" w:rsidRPr="006731CB">
        <w:rPr>
          <w:rFonts w:ascii="Times New Roman" w:eastAsia="Calibri" w:hAnsi="Times New Roman" w:cs="Times New Roman"/>
          <w:b/>
          <w:sz w:val="24"/>
          <w:szCs w:val="24"/>
        </w:rPr>
        <w:t xml:space="preserve"> </w:t>
      </w:r>
      <w:r w:rsidR="000E6D84" w:rsidRPr="006731CB">
        <w:rPr>
          <w:rFonts w:ascii="Times New Roman" w:eastAsia="Times New Roman" w:hAnsi="Times New Roman" w:cs="Times New Roman"/>
          <w:sz w:val="24"/>
          <w:szCs w:val="24"/>
          <w:lang w:eastAsia="tr-TR"/>
        </w:rPr>
        <w:t xml:space="preserve">Kamu kurumlarının </w:t>
      </w:r>
      <w:r w:rsidR="00D6032E" w:rsidRPr="006731CB">
        <w:rPr>
          <w:rFonts w:ascii="Times New Roman" w:eastAsia="Times New Roman" w:hAnsi="Times New Roman" w:cs="Times New Roman"/>
          <w:sz w:val="24"/>
          <w:szCs w:val="24"/>
          <w:lang w:eastAsia="tr-TR"/>
        </w:rPr>
        <w:t xml:space="preserve">uzun vadeli tedarik planları hazırlanacak, </w:t>
      </w:r>
      <w:r w:rsidR="000E6D84" w:rsidRPr="006731CB">
        <w:rPr>
          <w:rFonts w:ascii="Times New Roman" w:eastAsia="Times New Roman" w:hAnsi="Times New Roman" w:cs="Times New Roman"/>
          <w:sz w:val="24"/>
          <w:szCs w:val="24"/>
          <w:lang w:eastAsia="tr-TR"/>
        </w:rPr>
        <w:t>benzer ihtiyaçların</w:t>
      </w:r>
      <w:r w:rsidR="00A45AA5" w:rsidRPr="006731CB">
        <w:rPr>
          <w:rFonts w:ascii="Times New Roman" w:eastAsia="Times New Roman" w:hAnsi="Times New Roman" w:cs="Times New Roman"/>
          <w:sz w:val="24"/>
          <w:szCs w:val="24"/>
          <w:lang w:eastAsia="tr-TR"/>
        </w:rPr>
        <w:t>ın</w:t>
      </w:r>
      <w:r w:rsidR="000E6D84" w:rsidRPr="006731CB">
        <w:rPr>
          <w:rFonts w:ascii="Times New Roman" w:eastAsia="Times New Roman" w:hAnsi="Times New Roman" w:cs="Times New Roman"/>
          <w:sz w:val="24"/>
          <w:szCs w:val="24"/>
          <w:lang w:eastAsia="tr-TR"/>
        </w:rPr>
        <w:t xml:space="preserve"> ortak alım yöntemiyle temin edilmesi yaygınlaştırılacaktır.</w:t>
      </w:r>
    </w:p>
    <w:p w:rsidR="00D6032E" w:rsidRPr="006731CB" w:rsidRDefault="00150B72" w:rsidP="00D6032E">
      <w:pPr>
        <w:spacing w:after="120"/>
        <w:ind w:firstLine="567"/>
        <w:jc w:val="both"/>
        <w:rPr>
          <w:rFonts w:ascii="Times New Roman" w:eastAsia="Times New Roman" w:hAnsi="Times New Roman" w:cs="Times New Roman"/>
          <w:sz w:val="24"/>
          <w:szCs w:val="24"/>
          <w:lang w:eastAsia="tr-TR"/>
        </w:rPr>
      </w:pPr>
      <w:r w:rsidRPr="006731CB">
        <w:rPr>
          <w:rFonts w:ascii="Times New Roman" w:eastAsia="Calibri" w:hAnsi="Times New Roman" w:cs="Times New Roman"/>
          <w:sz w:val="24"/>
          <w:szCs w:val="24"/>
        </w:rPr>
        <w:t xml:space="preserve">13. </w:t>
      </w:r>
      <w:r w:rsidR="00D6032E" w:rsidRPr="006731CB">
        <w:rPr>
          <w:rFonts w:ascii="Times New Roman" w:eastAsia="Calibri" w:hAnsi="Times New Roman" w:cs="Times New Roman"/>
          <w:sz w:val="24"/>
          <w:szCs w:val="24"/>
        </w:rPr>
        <w:t xml:space="preserve">Kamu kurumlarında taşıt kullanımında maliyet etkinlik analizleri yapılarak tasarruf sağlamaya yönelik gerekli tüm tedbirler alınacaktır. </w:t>
      </w:r>
    </w:p>
    <w:p w:rsidR="007449F3" w:rsidRPr="006731CB" w:rsidRDefault="00150B72" w:rsidP="002B1D21">
      <w:pPr>
        <w:spacing w:after="120"/>
        <w:ind w:firstLine="567"/>
        <w:jc w:val="both"/>
        <w:rPr>
          <w:rFonts w:ascii="Times New Roman" w:eastAsia="Times New Roman" w:hAnsi="Times New Roman" w:cs="Times New Roman"/>
          <w:b/>
          <w:sz w:val="24"/>
          <w:szCs w:val="24"/>
          <w:lang w:eastAsia="tr-TR"/>
        </w:rPr>
      </w:pPr>
      <w:r w:rsidRPr="006731CB">
        <w:rPr>
          <w:rFonts w:ascii="Times New Roman" w:eastAsia="Calibri" w:hAnsi="Times New Roman" w:cs="Times New Roman"/>
          <w:sz w:val="24"/>
          <w:szCs w:val="24"/>
        </w:rPr>
        <w:t xml:space="preserve">14. </w:t>
      </w:r>
      <w:r w:rsidR="009A3954" w:rsidRPr="006731CB">
        <w:rPr>
          <w:rFonts w:ascii="Times New Roman" w:eastAsia="Calibri" w:hAnsi="Times New Roman" w:cs="Times New Roman"/>
          <w:sz w:val="24"/>
          <w:szCs w:val="24"/>
        </w:rPr>
        <w:t xml:space="preserve">Mevcut </w:t>
      </w:r>
      <w:r w:rsidR="00A45AA5" w:rsidRPr="006731CB">
        <w:rPr>
          <w:rFonts w:ascii="Times New Roman" w:eastAsia="Calibri" w:hAnsi="Times New Roman" w:cs="Times New Roman"/>
          <w:sz w:val="24"/>
          <w:szCs w:val="24"/>
        </w:rPr>
        <w:t xml:space="preserve">hizmet </w:t>
      </w:r>
      <w:r w:rsidR="007449F3" w:rsidRPr="006731CB">
        <w:rPr>
          <w:rFonts w:ascii="Times New Roman" w:eastAsia="Calibri" w:hAnsi="Times New Roman" w:cs="Times New Roman"/>
          <w:sz w:val="24"/>
          <w:szCs w:val="24"/>
        </w:rPr>
        <w:t>binaların</w:t>
      </w:r>
      <w:r w:rsidR="00A45AA5" w:rsidRPr="006731CB">
        <w:rPr>
          <w:rFonts w:ascii="Times New Roman" w:eastAsia="Calibri" w:hAnsi="Times New Roman" w:cs="Times New Roman"/>
          <w:sz w:val="24"/>
          <w:szCs w:val="24"/>
        </w:rPr>
        <w:t>ın</w:t>
      </w:r>
      <w:r w:rsidR="007449F3" w:rsidRPr="006731CB">
        <w:rPr>
          <w:rFonts w:ascii="Times New Roman" w:eastAsia="Calibri" w:hAnsi="Times New Roman" w:cs="Times New Roman"/>
          <w:sz w:val="24"/>
          <w:szCs w:val="24"/>
        </w:rPr>
        <w:t xml:space="preserve"> ekonomik ömürlerini ve kullanım verimliliğini artıracak </w:t>
      </w:r>
      <w:r w:rsidR="00A45AA5" w:rsidRPr="006731CB">
        <w:rPr>
          <w:rFonts w:ascii="Times New Roman" w:eastAsia="Calibri" w:hAnsi="Times New Roman" w:cs="Times New Roman"/>
          <w:sz w:val="24"/>
          <w:szCs w:val="24"/>
        </w:rPr>
        <w:t>önlemler</w:t>
      </w:r>
      <w:r w:rsidR="009A3954" w:rsidRPr="006731CB">
        <w:rPr>
          <w:rFonts w:ascii="Times New Roman" w:eastAsia="Calibri" w:hAnsi="Times New Roman" w:cs="Times New Roman"/>
          <w:sz w:val="24"/>
          <w:szCs w:val="24"/>
        </w:rPr>
        <w:t xml:space="preserve"> alınacak,</w:t>
      </w:r>
      <w:r w:rsidR="00EF0DB8" w:rsidRPr="006731CB">
        <w:rPr>
          <w:rFonts w:ascii="Times New Roman" w:eastAsia="Calibri" w:hAnsi="Times New Roman" w:cs="Times New Roman"/>
          <w:sz w:val="24"/>
          <w:szCs w:val="24"/>
        </w:rPr>
        <w:t xml:space="preserve"> çok</w:t>
      </w:r>
      <w:r w:rsidR="009A3954" w:rsidRPr="006731CB">
        <w:rPr>
          <w:rFonts w:ascii="Times New Roman" w:eastAsia="Calibri" w:hAnsi="Times New Roman" w:cs="Times New Roman"/>
          <w:sz w:val="24"/>
          <w:szCs w:val="24"/>
        </w:rPr>
        <w:t xml:space="preserve"> zorunlu haller dışında kamu hizmet binası yapımına izin verilmeyecektir.</w:t>
      </w:r>
    </w:p>
    <w:p w:rsidR="007449F3" w:rsidRPr="006731CB" w:rsidRDefault="00150B72" w:rsidP="00E53298">
      <w:pPr>
        <w:spacing w:after="120"/>
        <w:ind w:firstLine="567"/>
        <w:jc w:val="both"/>
        <w:rPr>
          <w:rFonts w:ascii="Times New Roman" w:eastAsia="Times New Roman" w:hAnsi="Times New Roman" w:cs="Times New Roman"/>
          <w:b/>
          <w:sz w:val="24"/>
          <w:szCs w:val="24"/>
          <w:lang w:eastAsia="tr-TR"/>
        </w:rPr>
      </w:pPr>
      <w:r w:rsidRPr="0042192E">
        <w:rPr>
          <w:rFonts w:ascii="Times New Roman" w:eastAsia="Calibri" w:hAnsi="Times New Roman" w:cs="Times New Roman"/>
          <w:sz w:val="24"/>
          <w:szCs w:val="24"/>
        </w:rPr>
        <w:lastRenderedPageBreak/>
        <w:t xml:space="preserve">15. </w:t>
      </w:r>
      <w:r w:rsidR="00C04914" w:rsidRPr="0042192E">
        <w:rPr>
          <w:rFonts w:ascii="Times New Roman" w:eastAsia="Calibri" w:hAnsi="Times New Roman" w:cs="Times New Roman"/>
          <w:sz w:val="24"/>
          <w:szCs w:val="24"/>
        </w:rPr>
        <w:t xml:space="preserve">Sağlık </w:t>
      </w:r>
      <w:r w:rsidR="00C04914" w:rsidRPr="006731CB">
        <w:rPr>
          <w:rFonts w:ascii="Times New Roman" w:eastAsia="Calibri" w:hAnsi="Times New Roman" w:cs="Times New Roman"/>
          <w:sz w:val="24"/>
          <w:szCs w:val="24"/>
        </w:rPr>
        <w:t>harcamalarındaki artışı ve gereksiz kullanımı önlemek amacıyla</w:t>
      </w:r>
      <w:r w:rsidR="00E53298" w:rsidRPr="006731CB">
        <w:rPr>
          <w:rFonts w:ascii="Times New Roman" w:eastAsia="Calibri" w:hAnsi="Times New Roman" w:cs="Times New Roman"/>
          <w:sz w:val="24"/>
          <w:szCs w:val="24"/>
        </w:rPr>
        <w:t>,</w:t>
      </w:r>
      <w:r w:rsidR="00C04914" w:rsidRPr="006731CB">
        <w:rPr>
          <w:rFonts w:ascii="Times New Roman" w:eastAsia="Calibri" w:hAnsi="Times New Roman" w:cs="Times New Roman"/>
          <w:sz w:val="24"/>
          <w:szCs w:val="24"/>
        </w:rPr>
        <w:t xml:space="preserve"> </w:t>
      </w:r>
      <w:r w:rsidR="00E53298" w:rsidRPr="006731CB">
        <w:rPr>
          <w:rFonts w:ascii="Times New Roman" w:eastAsia="Calibri" w:hAnsi="Times New Roman" w:cs="Times New Roman"/>
          <w:sz w:val="24"/>
          <w:szCs w:val="24"/>
        </w:rPr>
        <w:t>ilaç, tıbbi cihaz ve tedavi harcamaları</w:t>
      </w:r>
      <w:r w:rsidR="00751F8A" w:rsidRPr="006731CB">
        <w:rPr>
          <w:rFonts w:ascii="Times New Roman" w:eastAsia="Calibri" w:hAnsi="Times New Roman" w:cs="Times New Roman"/>
          <w:sz w:val="24"/>
          <w:szCs w:val="24"/>
        </w:rPr>
        <w:t>nı</w:t>
      </w:r>
      <w:r w:rsidR="00E53298" w:rsidRPr="006731CB">
        <w:rPr>
          <w:rFonts w:ascii="Times New Roman" w:eastAsia="Calibri" w:hAnsi="Times New Roman" w:cs="Times New Roman"/>
          <w:sz w:val="24"/>
          <w:szCs w:val="24"/>
        </w:rPr>
        <w:t xml:space="preserve"> </w:t>
      </w:r>
      <w:r w:rsidR="00C04914" w:rsidRPr="006731CB">
        <w:rPr>
          <w:rFonts w:ascii="Times New Roman" w:eastAsia="Calibri" w:hAnsi="Times New Roman" w:cs="Times New Roman"/>
          <w:sz w:val="24"/>
          <w:szCs w:val="24"/>
        </w:rPr>
        <w:t xml:space="preserve">kontrol altında tutmaya yönelik tedbirler hayata geçirilecektir. </w:t>
      </w:r>
      <w:r w:rsidR="00E53298" w:rsidRPr="006731CB">
        <w:rPr>
          <w:rFonts w:ascii="Times New Roman" w:eastAsia="Calibri" w:hAnsi="Times New Roman" w:cs="Times New Roman"/>
          <w:sz w:val="24"/>
          <w:szCs w:val="24"/>
        </w:rPr>
        <w:t xml:space="preserve">Sağlık </w:t>
      </w:r>
      <w:r w:rsidR="00815CCA" w:rsidRPr="006731CB">
        <w:rPr>
          <w:rFonts w:ascii="Times New Roman" w:eastAsia="Calibri" w:hAnsi="Times New Roman" w:cs="Times New Roman"/>
          <w:sz w:val="24"/>
          <w:szCs w:val="24"/>
        </w:rPr>
        <w:t xml:space="preserve">hizmetlerinde verimliliği artırmak </w:t>
      </w:r>
      <w:r w:rsidR="0010228C" w:rsidRPr="006731CB">
        <w:rPr>
          <w:rFonts w:ascii="Times New Roman" w:eastAsia="Calibri" w:hAnsi="Times New Roman" w:cs="Times New Roman"/>
          <w:sz w:val="24"/>
          <w:szCs w:val="24"/>
        </w:rPr>
        <w:t>için</w:t>
      </w:r>
      <w:r w:rsidR="00815CCA" w:rsidRPr="006731CB">
        <w:rPr>
          <w:rFonts w:ascii="Times New Roman" w:eastAsia="Calibri" w:hAnsi="Times New Roman" w:cs="Times New Roman"/>
          <w:sz w:val="24"/>
          <w:szCs w:val="24"/>
        </w:rPr>
        <w:t xml:space="preserve"> sağlık hizmet sunucuları ile ilgili bilgilendirme ve denetim faaliyetleri yaygınlaştırılacaktır.</w:t>
      </w:r>
      <w:r w:rsidR="007449F3" w:rsidRPr="006731CB">
        <w:rPr>
          <w:rFonts w:ascii="Times New Roman" w:eastAsia="Calibri" w:hAnsi="Times New Roman" w:cs="Times New Roman"/>
          <w:sz w:val="24"/>
          <w:szCs w:val="24"/>
        </w:rPr>
        <w:t xml:space="preserve"> </w:t>
      </w:r>
      <w:r w:rsidR="00E53298" w:rsidRPr="006731CB">
        <w:rPr>
          <w:rFonts w:ascii="Times New Roman" w:eastAsia="Calibri" w:hAnsi="Times New Roman" w:cs="Times New Roman"/>
          <w:sz w:val="24"/>
          <w:szCs w:val="24"/>
        </w:rPr>
        <w:t xml:space="preserve">Üniversite hastanelerinin yapısal sorunlarının giderilmesine yönelik </w:t>
      </w:r>
      <w:r w:rsidR="0010228C" w:rsidRPr="006731CB">
        <w:rPr>
          <w:rFonts w:ascii="Times New Roman" w:eastAsia="Calibri" w:hAnsi="Times New Roman" w:cs="Times New Roman"/>
          <w:sz w:val="24"/>
          <w:szCs w:val="24"/>
        </w:rPr>
        <w:t>çalışmalara devam edilecektir.</w:t>
      </w:r>
      <w:r w:rsidR="00E53298" w:rsidRPr="006731CB">
        <w:rPr>
          <w:rFonts w:ascii="Times New Roman" w:eastAsia="Calibri" w:hAnsi="Times New Roman" w:cs="Times New Roman"/>
          <w:sz w:val="24"/>
          <w:szCs w:val="24"/>
        </w:rPr>
        <w:t xml:space="preserve"> </w:t>
      </w:r>
      <w:r w:rsidR="00970565" w:rsidRPr="006731CB">
        <w:rPr>
          <w:rFonts w:ascii="Times New Roman" w:eastAsia="Calibri" w:hAnsi="Times New Roman" w:cs="Times New Roman"/>
          <w:sz w:val="24"/>
          <w:szCs w:val="24"/>
        </w:rPr>
        <w:t>Sosyal yardım harcamaları</w:t>
      </w:r>
      <w:r w:rsidR="008F7285" w:rsidRPr="006731CB">
        <w:rPr>
          <w:rFonts w:ascii="Times New Roman" w:eastAsia="Calibri" w:hAnsi="Times New Roman" w:cs="Times New Roman"/>
          <w:sz w:val="24"/>
          <w:szCs w:val="24"/>
        </w:rPr>
        <w:t>,</w:t>
      </w:r>
      <w:r w:rsidR="00970565" w:rsidRPr="006731CB">
        <w:rPr>
          <w:rFonts w:ascii="Times New Roman" w:eastAsia="Calibri" w:hAnsi="Times New Roman" w:cs="Times New Roman"/>
          <w:sz w:val="24"/>
          <w:szCs w:val="24"/>
        </w:rPr>
        <w:t xml:space="preserve"> verimlilik </w:t>
      </w:r>
      <w:r w:rsidR="0010228C" w:rsidRPr="006731CB">
        <w:rPr>
          <w:rFonts w:ascii="Times New Roman" w:eastAsia="Calibri" w:hAnsi="Times New Roman" w:cs="Times New Roman"/>
          <w:sz w:val="24"/>
          <w:szCs w:val="24"/>
        </w:rPr>
        <w:t>açısından</w:t>
      </w:r>
      <w:r w:rsidR="00970565" w:rsidRPr="006731CB">
        <w:rPr>
          <w:rFonts w:ascii="Times New Roman" w:eastAsia="Calibri" w:hAnsi="Times New Roman" w:cs="Times New Roman"/>
          <w:sz w:val="24"/>
          <w:szCs w:val="24"/>
        </w:rPr>
        <w:t xml:space="preserve"> </w:t>
      </w:r>
      <w:r w:rsidR="0010228C" w:rsidRPr="006731CB">
        <w:rPr>
          <w:rFonts w:ascii="Times New Roman" w:eastAsia="Calibri" w:hAnsi="Times New Roman" w:cs="Times New Roman"/>
          <w:sz w:val="24"/>
          <w:szCs w:val="24"/>
        </w:rPr>
        <w:t>değerlendirilerek mükerrer kullanım</w:t>
      </w:r>
      <w:r w:rsidR="00F60089" w:rsidRPr="006731CB">
        <w:rPr>
          <w:rFonts w:ascii="Times New Roman" w:eastAsia="Calibri" w:hAnsi="Times New Roman" w:cs="Times New Roman"/>
          <w:sz w:val="24"/>
          <w:szCs w:val="24"/>
        </w:rPr>
        <w:t>ın</w:t>
      </w:r>
      <w:r w:rsidR="0010228C" w:rsidRPr="006731CB">
        <w:rPr>
          <w:rFonts w:ascii="Times New Roman" w:eastAsia="Calibri" w:hAnsi="Times New Roman" w:cs="Times New Roman"/>
          <w:sz w:val="24"/>
          <w:szCs w:val="24"/>
        </w:rPr>
        <w:t xml:space="preserve"> önlenmesi</w:t>
      </w:r>
      <w:r w:rsidR="00970565" w:rsidRPr="006731CB">
        <w:rPr>
          <w:rFonts w:ascii="Times New Roman" w:eastAsia="Calibri" w:hAnsi="Times New Roman" w:cs="Times New Roman"/>
          <w:sz w:val="24"/>
          <w:szCs w:val="24"/>
        </w:rPr>
        <w:t xml:space="preserve"> ve kurumlar arası işbirliğinin güçlendirilmesi için gerekli tedbirler alınacaktır.</w:t>
      </w:r>
      <w:r w:rsidR="007449F3" w:rsidRPr="006731CB">
        <w:rPr>
          <w:rFonts w:ascii="Times New Roman" w:eastAsia="Times New Roman" w:hAnsi="Times New Roman" w:cs="Times New Roman"/>
          <w:b/>
          <w:sz w:val="24"/>
          <w:szCs w:val="24"/>
          <w:lang w:eastAsia="tr-TR"/>
        </w:rPr>
        <w:t xml:space="preserve"> </w:t>
      </w:r>
    </w:p>
    <w:p w:rsidR="009C5E2D" w:rsidRPr="006731CB" w:rsidRDefault="007050B2" w:rsidP="006632F3">
      <w:pPr>
        <w:spacing w:before="120" w:after="120"/>
        <w:ind w:firstLine="567"/>
        <w:jc w:val="both"/>
        <w:rPr>
          <w:strike/>
        </w:rPr>
      </w:pPr>
      <w:r w:rsidRPr="006731CB">
        <w:rPr>
          <w:rFonts w:ascii="Times New Roman" w:eastAsia="Calibri" w:hAnsi="Times New Roman" w:cs="Times New Roman"/>
          <w:sz w:val="24"/>
          <w:szCs w:val="24"/>
        </w:rPr>
        <w:t xml:space="preserve">16. </w:t>
      </w:r>
      <w:r w:rsidR="00547107" w:rsidRPr="006731CB">
        <w:rPr>
          <w:rFonts w:ascii="Times New Roman" w:eastAsia="Calibri" w:hAnsi="Times New Roman" w:cs="Times New Roman"/>
          <w:sz w:val="24"/>
          <w:szCs w:val="24"/>
        </w:rPr>
        <w:t>K</w:t>
      </w:r>
      <w:r w:rsidR="0010228C" w:rsidRPr="006731CB">
        <w:rPr>
          <w:rFonts w:ascii="Times New Roman" w:eastAsia="Calibri" w:hAnsi="Times New Roman" w:cs="Times New Roman"/>
          <w:sz w:val="24"/>
          <w:szCs w:val="24"/>
        </w:rPr>
        <w:t>amu yatırımları; özel sektörün yenilikçi, ü</w:t>
      </w:r>
      <w:r w:rsidR="0075100C" w:rsidRPr="006731CB">
        <w:rPr>
          <w:rFonts w:ascii="Times New Roman" w:eastAsia="Calibri" w:hAnsi="Times New Roman" w:cs="Times New Roman"/>
          <w:sz w:val="24"/>
          <w:szCs w:val="24"/>
        </w:rPr>
        <w:t>retken ve ticari</w:t>
      </w:r>
      <w:r w:rsidR="0010228C" w:rsidRPr="006731CB">
        <w:rPr>
          <w:rFonts w:ascii="Times New Roman" w:eastAsia="Calibri" w:hAnsi="Times New Roman" w:cs="Times New Roman"/>
          <w:sz w:val="24"/>
          <w:szCs w:val="24"/>
        </w:rPr>
        <w:t xml:space="preserve"> </w:t>
      </w:r>
      <w:r w:rsidR="0075100C" w:rsidRPr="006731CB">
        <w:rPr>
          <w:rFonts w:ascii="Times New Roman" w:eastAsia="Calibri" w:hAnsi="Times New Roman" w:cs="Times New Roman"/>
          <w:sz w:val="24"/>
          <w:szCs w:val="24"/>
        </w:rPr>
        <w:t>faaliyetlerini</w:t>
      </w:r>
      <w:r w:rsidR="00BF49E5" w:rsidRPr="006731CB">
        <w:rPr>
          <w:rFonts w:ascii="Times New Roman" w:eastAsia="Calibri" w:hAnsi="Times New Roman" w:cs="Times New Roman"/>
          <w:sz w:val="24"/>
          <w:szCs w:val="24"/>
        </w:rPr>
        <w:t>n</w:t>
      </w:r>
      <w:r w:rsidR="0075100C" w:rsidRPr="006731CB">
        <w:rPr>
          <w:rFonts w:ascii="Times New Roman" w:eastAsia="Calibri" w:hAnsi="Times New Roman" w:cs="Times New Roman"/>
          <w:sz w:val="24"/>
          <w:szCs w:val="24"/>
        </w:rPr>
        <w:t xml:space="preserve"> destekle</w:t>
      </w:r>
      <w:r w:rsidR="00BF49E5" w:rsidRPr="006731CB">
        <w:rPr>
          <w:rFonts w:ascii="Times New Roman" w:eastAsia="Calibri" w:hAnsi="Times New Roman" w:cs="Times New Roman"/>
          <w:sz w:val="24"/>
          <w:szCs w:val="24"/>
        </w:rPr>
        <w:t>nmesi</w:t>
      </w:r>
      <w:r w:rsidR="008F7285" w:rsidRPr="006731CB">
        <w:rPr>
          <w:rFonts w:ascii="Times New Roman" w:eastAsia="Calibri" w:hAnsi="Times New Roman" w:cs="Times New Roman"/>
          <w:sz w:val="24"/>
          <w:szCs w:val="24"/>
        </w:rPr>
        <w:t xml:space="preserve"> ile</w:t>
      </w:r>
      <w:r w:rsidR="0075100C" w:rsidRPr="006731CB">
        <w:rPr>
          <w:rFonts w:ascii="Times New Roman" w:eastAsia="Calibri" w:hAnsi="Times New Roman" w:cs="Times New Roman"/>
          <w:sz w:val="24"/>
          <w:szCs w:val="24"/>
        </w:rPr>
        <w:t xml:space="preserve"> </w:t>
      </w:r>
      <w:r w:rsidR="0010228C" w:rsidRPr="006731CB">
        <w:rPr>
          <w:rFonts w:ascii="Times New Roman" w:eastAsia="Calibri" w:hAnsi="Times New Roman" w:cs="Times New Roman"/>
          <w:sz w:val="24"/>
          <w:szCs w:val="24"/>
        </w:rPr>
        <w:t>vatandaşları</w:t>
      </w:r>
      <w:r w:rsidR="0075100C" w:rsidRPr="006731CB">
        <w:rPr>
          <w:rFonts w:ascii="Times New Roman" w:eastAsia="Calibri" w:hAnsi="Times New Roman" w:cs="Times New Roman"/>
          <w:sz w:val="24"/>
          <w:szCs w:val="24"/>
        </w:rPr>
        <w:t>mızın yaşam kalitesini</w:t>
      </w:r>
      <w:r w:rsidR="00BF49E5" w:rsidRPr="006731CB">
        <w:rPr>
          <w:rFonts w:ascii="Times New Roman" w:eastAsia="Calibri" w:hAnsi="Times New Roman" w:cs="Times New Roman"/>
          <w:sz w:val="24"/>
          <w:szCs w:val="24"/>
        </w:rPr>
        <w:t>n</w:t>
      </w:r>
      <w:r w:rsidR="0075100C" w:rsidRPr="006731CB">
        <w:rPr>
          <w:rFonts w:ascii="Times New Roman" w:eastAsia="Calibri" w:hAnsi="Times New Roman" w:cs="Times New Roman"/>
          <w:sz w:val="24"/>
          <w:szCs w:val="24"/>
        </w:rPr>
        <w:t xml:space="preserve"> artır</w:t>
      </w:r>
      <w:r w:rsidR="00BF49E5" w:rsidRPr="006731CB">
        <w:rPr>
          <w:rFonts w:ascii="Times New Roman" w:eastAsia="Calibri" w:hAnsi="Times New Roman" w:cs="Times New Roman"/>
          <w:sz w:val="24"/>
          <w:szCs w:val="24"/>
        </w:rPr>
        <w:t>ılmasına yönelik</w:t>
      </w:r>
      <w:r w:rsidR="0010228C" w:rsidRPr="006731CB">
        <w:rPr>
          <w:rFonts w:ascii="Times New Roman" w:eastAsia="Calibri" w:hAnsi="Times New Roman" w:cs="Times New Roman"/>
          <w:sz w:val="24"/>
          <w:szCs w:val="24"/>
        </w:rPr>
        <w:t xml:space="preserve"> altyapı alanlarına y</w:t>
      </w:r>
      <w:r w:rsidR="00F60089" w:rsidRPr="006731CB">
        <w:rPr>
          <w:rFonts w:ascii="Times New Roman" w:eastAsia="Calibri" w:hAnsi="Times New Roman" w:cs="Times New Roman"/>
          <w:sz w:val="24"/>
          <w:szCs w:val="24"/>
        </w:rPr>
        <w:t>önlendiril</w:t>
      </w:r>
      <w:r w:rsidR="0050301D" w:rsidRPr="006731CB">
        <w:rPr>
          <w:rFonts w:ascii="Times New Roman" w:eastAsia="Calibri" w:hAnsi="Times New Roman" w:cs="Times New Roman"/>
          <w:sz w:val="24"/>
          <w:szCs w:val="24"/>
        </w:rPr>
        <w:t>ecek,</w:t>
      </w:r>
      <w:r w:rsidR="00A8000F" w:rsidRPr="006731CB">
        <w:rPr>
          <w:rFonts w:ascii="Times New Roman" w:eastAsia="Calibri" w:hAnsi="Times New Roman" w:cs="Times New Roman"/>
          <w:sz w:val="24"/>
          <w:szCs w:val="24"/>
        </w:rPr>
        <w:t xml:space="preserve"> kamu yatırımlarının </w:t>
      </w:r>
      <w:r w:rsidR="00127637" w:rsidRPr="006731CB">
        <w:rPr>
          <w:rFonts w:ascii="Times New Roman" w:eastAsia="Calibri" w:hAnsi="Times New Roman" w:cs="Times New Roman"/>
          <w:sz w:val="24"/>
          <w:szCs w:val="24"/>
        </w:rPr>
        <w:t xml:space="preserve">finansmanında bütçe kaynaklarının yanı sıra mevcut tecrübeler de dikkate alınarak </w:t>
      </w:r>
      <w:r w:rsidR="007B6C9B" w:rsidRPr="006731CB">
        <w:rPr>
          <w:rFonts w:ascii="Times New Roman" w:eastAsia="Calibri" w:hAnsi="Times New Roman" w:cs="Times New Roman"/>
          <w:sz w:val="24"/>
          <w:szCs w:val="24"/>
        </w:rPr>
        <w:t xml:space="preserve">Kamu-Özel İşbirliği </w:t>
      </w:r>
      <w:r w:rsidR="00EB3189" w:rsidRPr="006731CB">
        <w:rPr>
          <w:rFonts w:ascii="Times New Roman" w:eastAsia="Calibri" w:hAnsi="Times New Roman" w:cs="Times New Roman"/>
          <w:sz w:val="24"/>
          <w:szCs w:val="24"/>
        </w:rPr>
        <w:t>(KÖİ)</w:t>
      </w:r>
      <w:r w:rsidR="00A8000F" w:rsidRPr="006731CB">
        <w:rPr>
          <w:rFonts w:ascii="Times New Roman" w:eastAsia="Calibri" w:hAnsi="Times New Roman" w:cs="Times New Roman"/>
          <w:sz w:val="24"/>
          <w:szCs w:val="24"/>
        </w:rPr>
        <w:t xml:space="preserve"> </w:t>
      </w:r>
      <w:r w:rsidR="007B6C9B" w:rsidRPr="006731CB">
        <w:rPr>
          <w:rFonts w:ascii="Times New Roman" w:eastAsia="Calibri" w:hAnsi="Times New Roman" w:cs="Times New Roman"/>
          <w:sz w:val="24"/>
          <w:szCs w:val="24"/>
        </w:rPr>
        <w:t>modeli</w:t>
      </w:r>
      <w:r w:rsidR="00127637" w:rsidRPr="006731CB">
        <w:rPr>
          <w:rFonts w:ascii="Times New Roman" w:eastAsia="Calibri" w:hAnsi="Times New Roman" w:cs="Times New Roman"/>
          <w:sz w:val="24"/>
          <w:szCs w:val="24"/>
        </w:rPr>
        <w:t xml:space="preserve"> </w:t>
      </w:r>
      <w:r w:rsidR="00A8000F" w:rsidRPr="006731CB">
        <w:rPr>
          <w:rFonts w:ascii="Times New Roman" w:eastAsia="Calibri" w:hAnsi="Times New Roman" w:cs="Times New Roman"/>
          <w:sz w:val="24"/>
          <w:szCs w:val="24"/>
        </w:rPr>
        <w:t>kullanılacaktır</w:t>
      </w:r>
      <w:r w:rsidR="003F5228" w:rsidRPr="006731CB">
        <w:rPr>
          <w:rFonts w:ascii="Times New Roman" w:eastAsia="Calibri" w:hAnsi="Times New Roman" w:cs="Times New Roman"/>
          <w:sz w:val="24"/>
          <w:szCs w:val="24"/>
        </w:rPr>
        <w:t>.</w:t>
      </w:r>
      <w:r w:rsidR="00D11B20" w:rsidRPr="006731CB">
        <w:rPr>
          <w:rFonts w:ascii="Times New Roman" w:eastAsia="Times New Roman" w:hAnsi="Times New Roman" w:cs="Times New Roman"/>
          <w:strike/>
          <w:sz w:val="24"/>
          <w:szCs w:val="24"/>
          <w:lang w:eastAsia="tr-TR"/>
        </w:rPr>
        <w:t xml:space="preserve"> </w:t>
      </w:r>
    </w:p>
    <w:p w:rsidR="009C5E2D" w:rsidRPr="006731CB" w:rsidRDefault="00150B72" w:rsidP="00D209D9">
      <w:pPr>
        <w:spacing w:before="120" w:after="120"/>
        <w:ind w:firstLine="567"/>
        <w:jc w:val="both"/>
        <w:rPr>
          <w:rFonts w:ascii="Times New Roman" w:eastAsia="Calibri" w:hAnsi="Times New Roman" w:cs="Times New Roman"/>
          <w:sz w:val="24"/>
          <w:szCs w:val="24"/>
        </w:rPr>
      </w:pPr>
      <w:proofErr w:type="gramStart"/>
      <w:r w:rsidRPr="006731CB">
        <w:rPr>
          <w:rFonts w:ascii="Times New Roman" w:eastAsia="Calibri" w:hAnsi="Times New Roman" w:cs="Times New Roman"/>
          <w:sz w:val="24"/>
          <w:szCs w:val="24"/>
        </w:rPr>
        <w:t xml:space="preserve">17. </w:t>
      </w:r>
      <w:r w:rsidR="00547107" w:rsidRPr="006731CB">
        <w:rPr>
          <w:rFonts w:ascii="Times New Roman" w:eastAsia="Calibri" w:hAnsi="Times New Roman" w:cs="Times New Roman"/>
          <w:sz w:val="24"/>
          <w:szCs w:val="24"/>
        </w:rPr>
        <w:t>Y</w:t>
      </w:r>
      <w:r w:rsidR="00EF0DB8" w:rsidRPr="006731CB">
        <w:rPr>
          <w:rFonts w:ascii="Times New Roman" w:eastAsia="Calibri" w:hAnsi="Times New Roman" w:cs="Times New Roman"/>
          <w:sz w:val="24"/>
          <w:szCs w:val="24"/>
        </w:rPr>
        <w:t>atırım ödeneklerinin tahsisinde; yük trafiğine hizmet eden bölünmüş yol, liman ve demiryolu yatırımları, öncelikli yük merkezlerine demiryolu iltisak hattı yatırımları,</w:t>
      </w:r>
      <w:r w:rsidR="00D209D9" w:rsidRPr="006731CB">
        <w:rPr>
          <w:rFonts w:ascii="Times New Roman" w:eastAsia="Calibri" w:hAnsi="Times New Roman" w:cs="Times New Roman"/>
          <w:sz w:val="24"/>
          <w:szCs w:val="24"/>
        </w:rPr>
        <w:t xml:space="preserve"> u</w:t>
      </w:r>
      <w:r w:rsidR="00EF0DB8" w:rsidRPr="006731CB">
        <w:rPr>
          <w:rFonts w:ascii="Times New Roman" w:eastAsia="Calibri" w:hAnsi="Times New Roman" w:cs="Times New Roman"/>
          <w:sz w:val="24"/>
          <w:szCs w:val="24"/>
        </w:rPr>
        <w:t xml:space="preserve">laştırma </w:t>
      </w:r>
      <w:proofErr w:type="spellStart"/>
      <w:r w:rsidR="00EF0DB8" w:rsidRPr="006731CB">
        <w:rPr>
          <w:rFonts w:ascii="Times New Roman" w:eastAsia="Calibri" w:hAnsi="Times New Roman" w:cs="Times New Roman"/>
          <w:sz w:val="24"/>
          <w:szCs w:val="24"/>
        </w:rPr>
        <w:t>modları</w:t>
      </w:r>
      <w:proofErr w:type="spellEnd"/>
      <w:r w:rsidR="00EF0DB8" w:rsidRPr="006731CB">
        <w:rPr>
          <w:rFonts w:ascii="Times New Roman" w:eastAsia="Calibri" w:hAnsi="Times New Roman" w:cs="Times New Roman"/>
          <w:sz w:val="24"/>
          <w:szCs w:val="24"/>
        </w:rPr>
        <w:t xml:space="preserve"> arasında sürekliliği ve veriml</w:t>
      </w:r>
      <w:r w:rsidR="00D209D9" w:rsidRPr="006731CB">
        <w:rPr>
          <w:rFonts w:ascii="Times New Roman" w:eastAsia="Calibri" w:hAnsi="Times New Roman" w:cs="Times New Roman"/>
          <w:sz w:val="24"/>
          <w:szCs w:val="24"/>
        </w:rPr>
        <w:t>iği sağlayacak acil bağlantılar,</w:t>
      </w:r>
      <w:r w:rsidR="0091167B" w:rsidRPr="006731CB">
        <w:rPr>
          <w:rFonts w:ascii="Times New Roman" w:eastAsia="Calibri" w:hAnsi="Times New Roman" w:cs="Times New Roman"/>
          <w:sz w:val="24"/>
          <w:szCs w:val="24"/>
        </w:rPr>
        <w:t xml:space="preserve"> tarımsal üretimi artırıcı sulama, arazi toplulaştırma, tarla içi geliştirme yatırımları, sanayi üretimini destekleyici nitelikte maden ve hammadde arama yatırımları, verimliliği artırıcı e-devlet altyapısı yatırımları</w:t>
      </w:r>
      <w:r w:rsidR="00035778" w:rsidRPr="006731CB">
        <w:rPr>
          <w:rFonts w:ascii="Times New Roman" w:eastAsia="Calibri" w:hAnsi="Times New Roman" w:cs="Times New Roman"/>
          <w:sz w:val="24"/>
          <w:szCs w:val="24"/>
        </w:rPr>
        <w:t>,</w:t>
      </w:r>
      <w:r w:rsidR="0091167B" w:rsidRPr="006731CB">
        <w:rPr>
          <w:rFonts w:ascii="Times New Roman" w:eastAsia="Calibri" w:hAnsi="Times New Roman" w:cs="Times New Roman"/>
          <w:sz w:val="24"/>
          <w:szCs w:val="24"/>
        </w:rPr>
        <w:t xml:space="preserve"> üretim kayıplarını önleyecek olan afetlere hazırlık yatırımları,  beşeri sermayenin iyileştirilmesine yönelik eğitim ve sağlık altyapı yatırımları</w:t>
      </w:r>
      <w:r w:rsidR="00D209D9" w:rsidRPr="006731CB">
        <w:rPr>
          <w:rFonts w:ascii="Times New Roman" w:eastAsia="Calibri" w:hAnsi="Times New Roman" w:cs="Times New Roman"/>
          <w:sz w:val="24"/>
          <w:szCs w:val="24"/>
        </w:rPr>
        <w:t>, teknolojik kapasite ve kabiliyetleri artıracak Ar-Ge altyapı yatırımları</w:t>
      </w:r>
      <w:r w:rsidR="00B22EBC" w:rsidRPr="006731CB">
        <w:rPr>
          <w:rFonts w:ascii="Times New Roman" w:eastAsia="Calibri" w:hAnsi="Times New Roman" w:cs="Times New Roman"/>
          <w:sz w:val="24"/>
          <w:szCs w:val="24"/>
        </w:rPr>
        <w:t xml:space="preserve"> ö</w:t>
      </w:r>
      <w:r w:rsidR="00D209D9" w:rsidRPr="006731CB">
        <w:rPr>
          <w:rFonts w:ascii="Times New Roman" w:eastAsia="Calibri" w:hAnsi="Times New Roman" w:cs="Times New Roman"/>
          <w:sz w:val="24"/>
          <w:szCs w:val="24"/>
        </w:rPr>
        <w:t>ncelikli alanlar olarak değerlendirilecek</w:t>
      </w:r>
      <w:r w:rsidR="00B22EBC" w:rsidRPr="006731CB">
        <w:rPr>
          <w:rFonts w:ascii="Times New Roman" w:eastAsia="Calibri" w:hAnsi="Times New Roman" w:cs="Times New Roman"/>
          <w:sz w:val="24"/>
          <w:szCs w:val="24"/>
        </w:rPr>
        <w:t>, c</w:t>
      </w:r>
      <w:r w:rsidR="00D209D9" w:rsidRPr="006731CB">
        <w:rPr>
          <w:rFonts w:ascii="Times New Roman" w:eastAsia="Calibri" w:hAnsi="Times New Roman" w:cs="Times New Roman"/>
          <w:sz w:val="24"/>
          <w:szCs w:val="24"/>
        </w:rPr>
        <w:t>azibe merkezi olarak belirlenen bölgelerdeki yatırımlara öncelik verilecektir.</w:t>
      </w:r>
      <w:proofErr w:type="gramEnd"/>
    </w:p>
    <w:p w:rsidR="002051C2" w:rsidRPr="006731CB" w:rsidRDefault="00150B72" w:rsidP="002051C2">
      <w:pPr>
        <w:spacing w:after="120"/>
        <w:ind w:firstLine="567"/>
        <w:jc w:val="both"/>
        <w:rPr>
          <w:rFonts w:ascii="Times New Roman" w:eastAsia="Calibri" w:hAnsi="Times New Roman" w:cs="Times New Roman"/>
          <w:sz w:val="24"/>
          <w:szCs w:val="24"/>
        </w:rPr>
      </w:pPr>
      <w:r w:rsidRPr="006731CB">
        <w:rPr>
          <w:rFonts w:ascii="Times New Roman" w:eastAsia="Calibri" w:hAnsi="Times New Roman" w:cs="Times New Roman"/>
          <w:sz w:val="24"/>
          <w:szCs w:val="24"/>
        </w:rPr>
        <w:t xml:space="preserve">18. </w:t>
      </w:r>
      <w:r w:rsidR="002051C2" w:rsidRPr="006731CB">
        <w:rPr>
          <w:rFonts w:ascii="Times New Roman" w:eastAsia="Calibri" w:hAnsi="Times New Roman" w:cs="Times New Roman"/>
          <w:sz w:val="24"/>
          <w:szCs w:val="24"/>
        </w:rPr>
        <w:t>Kamu yatırım programı kapsamındaki projelerin</w:t>
      </w:r>
      <w:r w:rsidR="00475DB1" w:rsidRPr="006731CB">
        <w:rPr>
          <w:rFonts w:ascii="Times New Roman" w:eastAsia="Calibri" w:hAnsi="Times New Roman" w:cs="Times New Roman"/>
          <w:sz w:val="24"/>
          <w:szCs w:val="24"/>
        </w:rPr>
        <w:t>,</w:t>
      </w:r>
      <w:r w:rsidR="002051C2" w:rsidRPr="006731CB">
        <w:rPr>
          <w:rFonts w:ascii="Times New Roman" w:eastAsia="Calibri" w:hAnsi="Times New Roman" w:cs="Times New Roman"/>
          <w:sz w:val="24"/>
          <w:szCs w:val="24"/>
        </w:rPr>
        <w:t xml:space="preserve"> analiz edilerek rasyonel olmayanların</w:t>
      </w:r>
      <w:r w:rsidR="00F94F73" w:rsidRPr="006731CB">
        <w:rPr>
          <w:rFonts w:ascii="Times New Roman" w:eastAsia="Calibri" w:hAnsi="Times New Roman" w:cs="Times New Roman"/>
          <w:sz w:val="24"/>
          <w:szCs w:val="24"/>
        </w:rPr>
        <w:t xml:space="preserve"> </w:t>
      </w:r>
      <w:r w:rsidR="002051C2" w:rsidRPr="006731CB">
        <w:rPr>
          <w:rFonts w:ascii="Times New Roman" w:eastAsia="Calibri" w:hAnsi="Times New Roman" w:cs="Times New Roman"/>
          <w:sz w:val="24"/>
          <w:szCs w:val="24"/>
        </w:rPr>
        <w:t>program kapsamından çıkarılması ve yatırımların ortalama tamamlanma süresinin kısaltılması amacıyla teknik çalışma</w:t>
      </w:r>
      <w:r w:rsidR="00EF33BA" w:rsidRPr="006731CB">
        <w:rPr>
          <w:rFonts w:ascii="Times New Roman" w:eastAsia="Calibri" w:hAnsi="Times New Roman" w:cs="Times New Roman"/>
          <w:sz w:val="24"/>
          <w:szCs w:val="24"/>
        </w:rPr>
        <w:t>lar</w:t>
      </w:r>
      <w:r w:rsidR="002051C2" w:rsidRPr="006731CB">
        <w:rPr>
          <w:rFonts w:ascii="Times New Roman" w:eastAsia="Calibri" w:hAnsi="Times New Roman" w:cs="Times New Roman"/>
          <w:sz w:val="24"/>
          <w:szCs w:val="24"/>
        </w:rPr>
        <w:t xml:space="preserve"> yapılacaktır. Kurumların yatırım </w:t>
      </w:r>
      <w:r w:rsidR="00C04914" w:rsidRPr="006731CB">
        <w:rPr>
          <w:rFonts w:ascii="Times New Roman" w:eastAsia="Calibri" w:hAnsi="Times New Roman" w:cs="Times New Roman"/>
          <w:sz w:val="24"/>
          <w:szCs w:val="24"/>
        </w:rPr>
        <w:t>ödenekleri</w:t>
      </w:r>
      <w:r w:rsidR="002051C2" w:rsidRPr="006731CB">
        <w:rPr>
          <w:rFonts w:ascii="Times New Roman" w:eastAsia="Calibri" w:hAnsi="Times New Roman" w:cs="Times New Roman"/>
          <w:sz w:val="24"/>
          <w:szCs w:val="24"/>
        </w:rPr>
        <w:t xml:space="preserve"> belirlenirken önceki yıllar gerçekl</w:t>
      </w:r>
      <w:r w:rsidR="009C5E2D" w:rsidRPr="006731CB">
        <w:rPr>
          <w:rFonts w:ascii="Times New Roman" w:eastAsia="Calibri" w:hAnsi="Times New Roman" w:cs="Times New Roman"/>
          <w:sz w:val="24"/>
          <w:szCs w:val="24"/>
        </w:rPr>
        <w:t>eşmeleri dikkate alınacak,</w:t>
      </w:r>
      <w:r w:rsidR="002051C2" w:rsidRPr="006731CB">
        <w:rPr>
          <w:rFonts w:ascii="Times New Roman" w:eastAsia="Calibri" w:hAnsi="Times New Roman" w:cs="Times New Roman"/>
          <w:sz w:val="24"/>
          <w:szCs w:val="24"/>
        </w:rPr>
        <w:t xml:space="preserve"> cari harcamalarda tasarruf sağlayacak yatırım projelerine öncelik verilecektir. </w:t>
      </w:r>
    </w:p>
    <w:p w:rsidR="00C04914" w:rsidRPr="006731CB" w:rsidRDefault="00150B72" w:rsidP="00B82CE2">
      <w:pPr>
        <w:spacing w:before="120"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 xml:space="preserve">19. </w:t>
      </w:r>
      <w:r w:rsidR="00E266BA" w:rsidRPr="006731CB">
        <w:rPr>
          <w:rFonts w:ascii="Times New Roman" w:eastAsia="Times New Roman" w:hAnsi="Times New Roman" w:cs="Times New Roman"/>
          <w:sz w:val="24"/>
          <w:szCs w:val="24"/>
          <w:lang w:eastAsia="tr-TR"/>
        </w:rPr>
        <w:t xml:space="preserve">Eğitim sisteminde, </w:t>
      </w:r>
      <w:r w:rsidR="00D6032E" w:rsidRPr="006731CB">
        <w:rPr>
          <w:rFonts w:ascii="Times New Roman" w:eastAsia="Calibri" w:hAnsi="Times New Roman" w:cs="Times New Roman"/>
          <w:sz w:val="24"/>
          <w:szCs w:val="24"/>
        </w:rPr>
        <w:t>yönetişim süreçlerini iyileştiren,</w:t>
      </w:r>
      <w:r w:rsidR="00D6032E" w:rsidRPr="006731CB">
        <w:rPr>
          <w:rFonts w:ascii="Times New Roman" w:eastAsia="Times New Roman" w:hAnsi="Times New Roman" w:cs="Times New Roman"/>
          <w:sz w:val="24"/>
          <w:szCs w:val="24"/>
          <w:lang w:eastAsia="tr-TR"/>
        </w:rPr>
        <w:t xml:space="preserve"> </w:t>
      </w:r>
      <w:r w:rsidR="00D6032E" w:rsidRPr="006731CB">
        <w:rPr>
          <w:rFonts w:ascii="Times New Roman" w:eastAsia="Calibri" w:hAnsi="Times New Roman" w:cs="Times New Roman"/>
          <w:sz w:val="24"/>
          <w:szCs w:val="24"/>
        </w:rPr>
        <w:t>öğretmen nitelikleri</w:t>
      </w:r>
      <w:r w:rsidR="007207EF" w:rsidRPr="006731CB">
        <w:rPr>
          <w:rFonts w:ascii="Times New Roman" w:eastAsia="Calibri" w:hAnsi="Times New Roman" w:cs="Times New Roman"/>
          <w:sz w:val="24"/>
          <w:szCs w:val="24"/>
        </w:rPr>
        <w:t>ni</w:t>
      </w:r>
      <w:r w:rsidR="00D6032E" w:rsidRPr="006731CB">
        <w:rPr>
          <w:rFonts w:ascii="Times New Roman" w:eastAsia="Calibri" w:hAnsi="Times New Roman" w:cs="Times New Roman"/>
          <w:sz w:val="24"/>
          <w:szCs w:val="24"/>
        </w:rPr>
        <w:t xml:space="preserve"> artıran,</w:t>
      </w:r>
      <w:r w:rsidR="00D6032E" w:rsidRPr="006731CB">
        <w:rPr>
          <w:rFonts w:ascii="Times New Roman" w:eastAsia="Times New Roman" w:hAnsi="Times New Roman" w:cs="Times New Roman"/>
          <w:sz w:val="24"/>
          <w:szCs w:val="24"/>
          <w:lang w:eastAsia="tr-TR"/>
        </w:rPr>
        <w:t xml:space="preserve"> </w:t>
      </w:r>
      <w:r w:rsidR="00E266BA" w:rsidRPr="006731CB">
        <w:rPr>
          <w:rFonts w:ascii="Times New Roman" w:eastAsia="Times New Roman" w:hAnsi="Times New Roman" w:cs="Times New Roman"/>
          <w:sz w:val="24"/>
          <w:szCs w:val="24"/>
          <w:lang w:eastAsia="tr-TR"/>
        </w:rPr>
        <w:t>bireylerin kişilik ve kabiliyetlerini geliştiren, hayat boyu öğrenme yaklaşımı çerçevesinde işgücü piyasasıyla uyum</w:t>
      </w:r>
      <w:r w:rsidR="007207EF" w:rsidRPr="006731CB">
        <w:rPr>
          <w:rFonts w:ascii="Times New Roman" w:eastAsia="Times New Roman" w:hAnsi="Times New Roman" w:cs="Times New Roman"/>
          <w:sz w:val="24"/>
          <w:szCs w:val="24"/>
          <w:lang w:eastAsia="tr-TR"/>
        </w:rPr>
        <w:t>l</w:t>
      </w:r>
      <w:r w:rsidR="000F690A" w:rsidRPr="006731CB">
        <w:rPr>
          <w:rFonts w:ascii="Times New Roman" w:eastAsia="Times New Roman" w:hAnsi="Times New Roman" w:cs="Times New Roman"/>
          <w:sz w:val="24"/>
          <w:szCs w:val="24"/>
          <w:lang w:eastAsia="tr-TR"/>
        </w:rPr>
        <w:t>u</w:t>
      </w:r>
      <w:r w:rsidR="007207EF" w:rsidRPr="006731CB">
        <w:rPr>
          <w:rFonts w:ascii="Times New Roman" w:eastAsia="Times New Roman" w:hAnsi="Times New Roman" w:cs="Times New Roman"/>
          <w:sz w:val="24"/>
          <w:szCs w:val="24"/>
          <w:lang w:eastAsia="tr-TR"/>
        </w:rPr>
        <w:t>,</w:t>
      </w:r>
      <w:r w:rsidR="000F690A" w:rsidRPr="006731CB">
        <w:rPr>
          <w:rFonts w:ascii="Times New Roman" w:eastAsia="Times New Roman" w:hAnsi="Times New Roman" w:cs="Times New Roman"/>
          <w:sz w:val="24"/>
          <w:szCs w:val="24"/>
          <w:lang w:eastAsia="tr-TR"/>
        </w:rPr>
        <w:t xml:space="preserve"> </w:t>
      </w:r>
      <w:r w:rsidR="00D6032E" w:rsidRPr="006731CB">
        <w:rPr>
          <w:rFonts w:ascii="Times New Roman" w:eastAsia="Calibri" w:hAnsi="Times New Roman" w:cs="Times New Roman"/>
          <w:sz w:val="24"/>
          <w:szCs w:val="24"/>
        </w:rPr>
        <w:t>mesleki ve teknik eğitimi güçlendiren</w:t>
      </w:r>
      <w:r w:rsidR="00E266BA" w:rsidRPr="006731CB">
        <w:rPr>
          <w:rFonts w:ascii="Times New Roman" w:eastAsia="Times New Roman" w:hAnsi="Times New Roman" w:cs="Times New Roman"/>
          <w:sz w:val="24"/>
          <w:szCs w:val="24"/>
          <w:lang w:eastAsia="tr-TR"/>
        </w:rPr>
        <w:t xml:space="preserve">, özel sektörün katkısını artıran, fırsat eşitliğine dayalı, </w:t>
      </w:r>
      <w:r w:rsidR="00D6032E" w:rsidRPr="006731CB">
        <w:rPr>
          <w:rFonts w:ascii="Times New Roman" w:eastAsia="Calibri" w:hAnsi="Times New Roman" w:cs="Times New Roman"/>
          <w:sz w:val="24"/>
          <w:szCs w:val="24"/>
        </w:rPr>
        <w:t>üniversitelerin ihtisaslaşması temel amaçları çerçevesinde</w:t>
      </w:r>
      <w:r w:rsidR="00D6032E" w:rsidRPr="006731CB">
        <w:rPr>
          <w:rFonts w:ascii="Times New Roman" w:eastAsia="Times New Roman" w:hAnsi="Times New Roman" w:cs="Times New Roman"/>
          <w:sz w:val="24"/>
          <w:szCs w:val="24"/>
          <w:lang w:eastAsia="tr-TR"/>
        </w:rPr>
        <w:t xml:space="preserve"> </w:t>
      </w:r>
      <w:r w:rsidR="00E266BA" w:rsidRPr="006731CB">
        <w:rPr>
          <w:rFonts w:ascii="Times New Roman" w:eastAsia="Times New Roman" w:hAnsi="Times New Roman" w:cs="Times New Roman"/>
          <w:sz w:val="24"/>
          <w:szCs w:val="24"/>
          <w:lang w:eastAsia="tr-TR"/>
        </w:rPr>
        <w:t>kalite odaklı dönüşüm sürdürülecektir.</w:t>
      </w:r>
      <w:r w:rsidR="00760C87" w:rsidRPr="006731CB">
        <w:rPr>
          <w:rFonts w:ascii="Times New Roman" w:eastAsia="Times New Roman" w:hAnsi="Times New Roman" w:cs="Times New Roman"/>
          <w:sz w:val="24"/>
          <w:szCs w:val="24"/>
          <w:lang w:eastAsia="tr-TR"/>
        </w:rPr>
        <w:t xml:space="preserve"> </w:t>
      </w:r>
    </w:p>
    <w:p w:rsidR="00F94F73" w:rsidRPr="006731CB" w:rsidRDefault="00B82CE2" w:rsidP="00B82CE2">
      <w:pPr>
        <w:tabs>
          <w:tab w:val="left" w:pos="567"/>
        </w:tabs>
        <w:spacing w:before="120" w:after="120" w:line="259" w:lineRule="auto"/>
        <w:jc w:val="both"/>
        <w:rPr>
          <w:rFonts w:ascii="Times New Roman" w:eastAsia="Calibri" w:hAnsi="Times New Roman" w:cs="Times New Roman"/>
          <w:sz w:val="24"/>
          <w:szCs w:val="24"/>
        </w:rPr>
      </w:pPr>
      <w:r w:rsidRPr="006731CB">
        <w:rPr>
          <w:rFonts w:ascii="Georgia" w:eastAsia="Calibri" w:hAnsi="Georgia" w:cs="Times New Roman"/>
          <w:b/>
          <w:sz w:val="24"/>
          <w:szCs w:val="24"/>
        </w:rPr>
        <w:tab/>
      </w:r>
      <w:r w:rsidR="00150B72" w:rsidRPr="006731CB">
        <w:rPr>
          <w:rFonts w:ascii="Times New Roman" w:eastAsia="Calibri" w:hAnsi="Times New Roman" w:cs="Times New Roman"/>
          <w:sz w:val="24"/>
          <w:szCs w:val="24"/>
        </w:rPr>
        <w:t>20.</w:t>
      </w:r>
      <w:r w:rsidR="00150B72" w:rsidRPr="006731CB">
        <w:rPr>
          <w:rFonts w:ascii="Georgia" w:eastAsia="Calibri" w:hAnsi="Georgia" w:cs="Times New Roman"/>
          <w:b/>
          <w:sz w:val="24"/>
          <w:szCs w:val="24"/>
        </w:rPr>
        <w:t xml:space="preserve"> </w:t>
      </w:r>
      <w:r w:rsidR="00547107" w:rsidRPr="006731CB">
        <w:rPr>
          <w:rFonts w:ascii="Georgia" w:eastAsia="Calibri" w:hAnsi="Georgia" w:cs="Times New Roman"/>
          <w:sz w:val="24"/>
          <w:szCs w:val="24"/>
        </w:rPr>
        <w:t>T</w:t>
      </w:r>
      <w:r w:rsidR="00F94F73" w:rsidRPr="006731CB">
        <w:rPr>
          <w:rFonts w:ascii="Times New Roman" w:eastAsia="Times New Roman" w:hAnsi="Times New Roman" w:cs="Times New Roman"/>
          <w:sz w:val="24"/>
          <w:szCs w:val="24"/>
          <w:lang w:eastAsia="tr-TR"/>
        </w:rPr>
        <w:t xml:space="preserve">arım sektöründe </w:t>
      </w:r>
      <w:r w:rsidR="00237C54" w:rsidRPr="006731CB">
        <w:rPr>
          <w:rFonts w:ascii="Times New Roman" w:eastAsia="Calibri" w:hAnsi="Times New Roman" w:cs="Times New Roman"/>
          <w:sz w:val="24"/>
          <w:szCs w:val="24"/>
        </w:rPr>
        <w:t>ü</w:t>
      </w:r>
      <w:bookmarkStart w:id="0" w:name="OLE_LINK1"/>
      <w:bookmarkStart w:id="1" w:name="OLE_LINK2"/>
      <w:r w:rsidR="00237C54" w:rsidRPr="006731CB">
        <w:rPr>
          <w:rFonts w:ascii="Times New Roman" w:eastAsia="Calibri" w:hAnsi="Times New Roman" w:cs="Times New Roman"/>
          <w:sz w:val="24"/>
          <w:szCs w:val="24"/>
        </w:rPr>
        <w:t>retim hedefleri, verimlilik ve çiftçi geliri dengesi gözetilerek</w:t>
      </w:r>
      <w:bookmarkEnd w:id="0"/>
      <w:bookmarkEnd w:id="1"/>
      <w:r w:rsidR="00237C54" w:rsidRPr="006731CB">
        <w:t xml:space="preserve"> </w:t>
      </w:r>
      <w:r w:rsidR="00F94F73" w:rsidRPr="006731CB">
        <w:rPr>
          <w:rFonts w:ascii="Times New Roman" w:eastAsia="Times New Roman" w:hAnsi="Times New Roman" w:cs="Times New Roman"/>
          <w:sz w:val="24"/>
          <w:szCs w:val="24"/>
          <w:lang w:eastAsia="tr-TR"/>
        </w:rPr>
        <w:t>tarımsal destekler gözden geçirilec</w:t>
      </w:r>
      <w:r w:rsidR="00745C2B" w:rsidRPr="006731CB">
        <w:rPr>
          <w:rFonts w:ascii="Times New Roman" w:eastAsia="Times New Roman" w:hAnsi="Times New Roman" w:cs="Times New Roman"/>
          <w:sz w:val="24"/>
          <w:szCs w:val="24"/>
          <w:lang w:eastAsia="tr-TR"/>
        </w:rPr>
        <w:t>ek, desteklerin etkinliğini art</w:t>
      </w:r>
      <w:r w:rsidR="00F94F73" w:rsidRPr="006731CB">
        <w:rPr>
          <w:rFonts w:ascii="Times New Roman" w:eastAsia="Times New Roman" w:hAnsi="Times New Roman" w:cs="Times New Roman"/>
          <w:sz w:val="24"/>
          <w:szCs w:val="24"/>
          <w:lang w:eastAsia="tr-TR"/>
        </w:rPr>
        <w:t>ıracak düzenlemeler yapılacaktır.</w:t>
      </w:r>
      <w:r w:rsidR="00F94F73" w:rsidRPr="006731CB">
        <w:rPr>
          <w:rFonts w:ascii="Times New Roman" w:eastAsia="Calibri" w:hAnsi="Times New Roman" w:cs="Times New Roman"/>
          <w:i/>
          <w:sz w:val="24"/>
          <w:szCs w:val="24"/>
        </w:rPr>
        <w:t xml:space="preserve"> </w:t>
      </w:r>
      <w:r w:rsidR="00F94F73" w:rsidRPr="006731CB">
        <w:rPr>
          <w:rFonts w:ascii="Times New Roman" w:eastAsia="Times New Roman" w:hAnsi="Times New Roman" w:cs="Times New Roman"/>
          <w:sz w:val="24"/>
          <w:szCs w:val="24"/>
          <w:lang w:eastAsia="tr-TR"/>
        </w:rPr>
        <w:t>Bu amaçla tarımsal destekler; iklim, toprak yapısı,</w:t>
      </w:r>
      <w:r w:rsidR="00F94F73" w:rsidRPr="006731CB">
        <w:rPr>
          <w:rFonts w:ascii="Times New Roman" w:eastAsia="Calibri" w:hAnsi="Times New Roman" w:cs="Times New Roman"/>
          <w:b/>
          <w:i/>
          <w:sz w:val="24"/>
          <w:szCs w:val="24"/>
        </w:rPr>
        <w:t xml:space="preserve"> </w:t>
      </w:r>
      <w:r w:rsidR="00F94F73" w:rsidRPr="006731CB">
        <w:rPr>
          <w:rFonts w:ascii="Times New Roman" w:eastAsia="Calibri" w:hAnsi="Times New Roman" w:cs="Times New Roman"/>
          <w:sz w:val="24"/>
          <w:szCs w:val="24"/>
        </w:rPr>
        <w:t>bitki deseni</w:t>
      </w:r>
      <w:r w:rsidR="00B60CBA" w:rsidRPr="006731CB">
        <w:rPr>
          <w:rFonts w:ascii="Times New Roman" w:eastAsia="Calibri" w:hAnsi="Times New Roman" w:cs="Times New Roman"/>
          <w:sz w:val="24"/>
          <w:szCs w:val="24"/>
        </w:rPr>
        <w:t xml:space="preserve"> ve</w:t>
      </w:r>
      <w:r w:rsidR="00F94F73" w:rsidRPr="006731CB">
        <w:rPr>
          <w:rFonts w:ascii="Times New Roman" w:eastAsia="Calibri" w:hAnsi="Times New Roman" w:cs="Times New Roman"/>
          <w:b/>
          <w:i/>
          <w:sz w:val="24"/>
          <w:szCs w:val="24"/>
        </w:rPr>
        <w:t xml:space="preserve"> </w:t>
      </w:r>
      <w:r w:rsidR="00F94F73" w:rsidRPr="006731CB">
        <w:rPr>
          <w:rFonts w:ascii="Times New Roman" w:eastAsia="Times New Roman" w:hAnsi="Times New Roman" w:cs="Times New Roman"/>
          <w:sz w:val="24"/>
          <w:szCs w:val="24"/>
          <w:lang w:eastAsia="tr-TR"/>
        </w:rPr>
        <w:t>mevcut su varlığı</w:t>
      </w:r>
      <w:r w:rsidR="00F94F73" w:rsidRPr="006731CB">
        <w:rPr>
          <w:rFonts w:ascii="Times New Roman" w:eastAsia="Calibri" w:hAnsi="Times New Roman" w:cs="Times New Roman"/>
          <w:b/>
          <w:i/>
          <w:sz w:val="24"/>
          <w:szCs w:val="24"/>
        </w:rPr>
        <w:t xml:space="preserve"> </w:t>
      </w:r>
      <w:r w:rsidR="00F94F73" w:rsidRPr="006731CB">
        <w:rPr>
          <w:rFonts w:ascii="Times New Roman" w:eastAsia="Times New Roman" w:hAnsi="Times New Roman" w:cs="Times New Roman"/>
          <w:sz w:val="24"/>
          <w:szCs w:val="24"/>
          <w:lang w:eastAsia="tr-TR"/>
        </w:rPr>
        <w:t>dikkate alınarak havza bazında</w:t>
      </w:r>
      <w:r w:rsidR="00F94F73" w:rsidRPr="006731CB">
        <w:rPr>
          <w:rFonts w:ascii="Times New Roman" w:eastAsia="Calibri" w:hAnsi="Times New Roman" w:cs="Times New Roman"/>
          <w:b/>
          <w:i/>
          <w:sz w:val="24"/>
          <w:szCs w:val="24"/>
        </w:rPr>
        <w:t xml:space="preserve"> </w:t>
      </w:r>
      <w:r w:rsidR="00F94F73" w:rsidRPr="006731CB">
        <w:rPr>
          <w:rFonts w:ascii="Times New Roman" w:eastAsia="Calibri" w:hAnsi="Times New Roman" w:cs="Times New Roman"/>
          <w:sz w:val="24"/>
          <w:szCs w:val="24"/>
        </w:rPr>
        <w:t>üretim ve gelir odaklı olarak verilecektir.</w:t>
      </w:r>
      <w:r w:rsidR="00434518" w:rsidRPr="006731CB">
        <w:rPr>
          <w:rFonts w:ascii="Times New Roman" w:eastAsia="Calibri" w:hAnsi="Times New Roman" w:cs="Times New Roman"/>
          <w:sz w:val="24"/>
          <w:szCs w:val="24"/>
        </w:rPr>
        <w:t xml:space="preserve"> </w:t>
      </w:r>
    </w:p>
    <w:p w:rsidR="00562AE6" w:rsidRDefault="00852292" w:rsidP="002D1F1A">
      <w:pPr>
        <w:tabs>
          <w:tab w:val="left" w:pos="567"/>
        </w:tabs>
        <w:spacing w:before="120" w:after="0" w:line="240" w:lineRule="auto"/>
        <w:jc w:val="both"/>
        <w:rPr>
          <w:rFonts w:ascii="Times New Roman" w:hAnsi="Times New Roman"/>
          <w:sz w:val="24"/>
          <w:szCs w:val="24"/>
        </w:rPr>
      </w:pPr>
      <w:r>
        <w:rPr>
          <w:rFonts w:ascii="Times New Roman" w:eastAsia="Calibri" w:hAnsi="Times New Roman" w:cs="Times New Roman"/>
          <w:color w:val="0070C0"/>
          <w:sz w:val="24"/>
          <w:szCs w:val="24"/>
        </w:rPr>
        <w:tab/>
      </w:r>
      <w:r w:rsidR="00150B72" w:rsidRPr="0042192E">
        <w:rPr>
          <w:rFonts w:ascii="Times New Roman" w:eastAsia="Calibri" w:hAnsi="Times New Roman" w:cs="Times New Roman"/>
          <w:sz w:val="24"/>
          <w:szCs w:val="24"/>
        </w:rPr>
        <w:t xml:space="preserve">21. </w:t>
      </w:r>
      <w:r w:rsidR="00562AE6" w:rsidRPr="0042192E">
        <w:rPr>
          <w:rFonts w:ascii="Times New Roman" w:hAnsi="Times New Roman"/>
          <w:sz w:val="24"/>
          <w:szCs w:val="24"/>
        </w:rPr>
        <w:t xml:space="preserve">Kamu </w:t>
      </w:r>
      <w:r w:rsidR="00562AE6" w:rsidRPr="00DC6D12">
        <w:rPr>
          <w:rFonts w:ascii="Times New Roman" w:hAnsi="Times New Roman"/>
          <w:sz w:val="24"/>
          <w:szCs w:val="24"/>
        </w:rPr>
        <w:t xml:space="preserve">mali yönetim sistemimiz değişen koşullara uygun olacak şekilde daha etkin, hesap verebilir ve şeffaf bir yapıya </w:t>
      </w:r>
      <w:r w:rsidR="002C49FC">
        <w:rPr>
          <w:rFonts w:ascii="Times New Roman" w:hAnsi="Times New Roman"/>
          <w:sz w:val="24"/>
          <w:szCs w:val="24"/>
        </w:rPr>
        <w:t xml:space="preserve">sahip olacaktır. Bu çerçevede, </w:t>
      </w:r>
      <w:r w:rsidR="00562AE6" w:rsidRPr="00DC6D12">
        <w:rPr>
          <w:rFonts w:ascii="Times New Roman" w:hAnsi="Times New Roman"/>
          <w:sz w:val="24"/>
          <w:szCs w:val="24"/>
        </w:rPr>
        <w:t>AB müktesebatı ve uluslararası normlar esas alınmak suretiyle kamu mali yönetim ve kontrol sistemi gözden geçirilecek ve gerekli mevzuat değişiklikleri yapılacaktır.</w:t>
      </w:r>
      <w:r w:rsidR="00DC6D12">
        <w:rPr>
          <w:rFonts w:ascii="Times New Roman" w:hAnsi="Times New Roman"/>
          <w:sz w:val="24"/>
          <w:szCs w:val="24"/>
        </w:rPr>
        <w:t xml:space="preserve"> </w:t>
      </w:r>
    </w:p>
    <w:p w:rsidR="00D61DB7" w:rsidRDefault="00150B72" w:rsidP="002D1F1A">
      <w:pPr>
        <w:spacing w:before="120" w:after="0"/>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22. </w:t>
      </w:r>
      <w:r w:rsidR="00547107">
        <w:rPr>
          <w:rFonts w:ascii="Times New Roman" w:eastAsia="Times New Roman" w:hAnsi="Times New Roman"/>
          <w:sz w:val="24"/>
          <w:szCs w:val="24"/>
          <w:lang w:eastAsia="tr-TR"/>
        </w:rPr>
        <w:t>K</w:t>
      </w:r>
      <w:r w:rsidR="009A667D" w:rsidRPr="00DC6D12">
        <w:rPr>
          <w:rFonts w:ascii="Times New Roman" w:eastAsia="Times New Roman" w:hAnsi="Times New Roman"/>
          <w:sz w:val="24"/>
          <w:szCs w:val="24"/>
          <w:lang w:eastAsia="tr-TR"/>
        </w:rPr>
        <w:t xml:space="preserve">amu idarelerinin kamu iç kontrol standartlarına uyum kapasitesi artırılacak, kamuda risk yönetimi uygulamaları yaygınlaştırılacak, risk yönetimine ilişkin bir rehber ve tüm kamu idarelerinin kullanımına yönelik bir risk yönetimi yazılımı geliştirilecektir. </w:t>
      </w:r>
    </w:p>
    <w:p w:rsidR="00D61DB7" w:rsidRDefault="00D61DB7" w:rsidP="002D1F1A">
      <w:pPr>
        <w:spacing w:before="120" w:after="0"/>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 xml:space="preserve">23. </w:t>
      </w:r>
      <w:r w:rsidR="009A667D" w:rsidRPr="00DC6D12">
        <w:rPr>
          <w:rFonts w:ascii="Times New Roman" w:eastAsia="Times New Roman" w:hAnsi="Times New Roman"/>
          <w:sz w:val="24"/>
          <w:szCs w:val="24"/>
          <w:lang w:eastAsia="tr-TR"/>
        </w:rPr>
        <w:t xml:space="preserve">Mali Yönetim ve Kontrol Merkezi Uyumlaştırma Biriminin izleme fonksiyonu güçlendirilecektir. </w:t>
      </w:r>
    </w:p>
    <w:p w:rsidR="00DC6D12" w:rsidRPr="00654A46" w:rsidRDefault="00D61DB7" w:rsidP="002D1F1A">
      <w:pPr>
        <w:spacing w:before="120" w:after="0"/>
        <w:ind w:firstLine="567"/>
        <w:jc w:val="both"/>
        <w:rPr>
          <w:rFonts w:ascii="Times New Roman" w:hAnsi="Times New Roman"/>
          <w:color w:val="00B050"/>
          <w:sz w:val="24"/>
          <w:szCs w:val="24"/>
        </w:rPr>
      </w:pPr>
      <w:r>
        <w:rPr>
          <w:rFonts w:ascii="Times New Roman" w:eastAsia="Times New Roman" w:hAnsi="Times New Roman"/>
          <w:sz w:val="24"/>
          <w:szCs w:val="24"/>
          <w:lang w:eastAsia="tr-TR"/>
        </w:rPr>
        <w:t xml:space="preserve">24. </w:t>
      </w:r>
      <w:r w:rsidR="009A667D" w:rsidRPr="00DC6D12">
        <w:rPr>
          <w:rFonts w:ascii="Times New Roman" w:eastAsia="Times New Roman" w:hAnsi="Times New Roman"/>
          <w:sz w:val="24"/>
          <w:szCs w:val="24"/>
          <w:lang w:eastAsia="tr-TR"/>
        </w:rPr>
        <w:t>Kamu idarelerinin mali yönetim ve kontrol alanındaki hizmetlerinin etkinliğini artırmaya yönelik olarak insan kaynakları alt yapısını güçlendirmek amacıyla faaliyetler yürütülecektir. Bu çerçevede, kamu idarelerinin mali yönetim ve iç kontrole ilişkin kurumsallaşma, düzenleme ve uygulama düzeylerinin elektronik ortamda izlenmesine ve yönlendirilmesine ilişkin çalışmalara devam edilecektir.</w:t>
      </w:r>
      <w:r w:rsidR="009A667D" w:rsidRPr="00932F51">
        <w:rPr>
          <w:rFonts w:ascii="Times New Roman" w:eastAsia="Times New Roman" w:hAnsi="Times New Roman"/>
          <w:sz w:val="24"/>
          <w:szCs w:val="24"/>
          <w:lang w:eastAsia="tr-TR"/>
        </w:rPr>
        <w:t xml:space="preserve"> </w:t>
      </w:r>
    </w:p>
    <w:p w:rsidR="00654A46" w:rsidRPr="006731CB" w:rsidRDefault="00150B72" w:rsidP="002D1F1A">
      <w:pPr>
        <w:spacing w:before="120" w:after="120"/>
        <w:ind w:firstLine="567"/>
        <w:jc w:val="both"/>
        <w:rPr>
          <w:rFonts w:ascii="Times New Roman" w:hAnsi="Times New Roman"/>
          <w:sz w:val="24"/>
          <w:szCs w:val="24"/>
        </w:rPr>
      </w:pPr>
      <w:r>
        <w:rPr>
          <w:rFonts w:ascii="Times New Roman" w:eastAsia="Times New Roman" w:hAnsi="Times New Roman"/>
          <w:sz w:val="24"/>
          <w:szCs w:val="24"/>
          <w:lang w:eastAsia="tr-TR"/>
        </w:rPr>
        <w:t>2</w:t>
      </w:r>
      <w:r w:rsidR="00D61DB7">
        <w:rPr>
          <w:rFonts w:ascii="Times New Roman" w:eastAsia="Times New Roman" w:hAnsi="Times New Roman"/>
          <w:sz w:val="24"/>
          <w:szCs w:val="24"/>
          <w:lang w:eastAsia="tr-TR"/>
        </w:rPr>
        <w:t>5</w:t>
      </w:r>
      <w:r>
        <w:rPr>
          <w:rFonts w:ascii="Times New Roman" w:eastAsia="Times New Roman" w:hAnsi="Times New Roman"/>
          <w:sz w:val="24"/>
          <w:szCs w:val="24"/>
          <w:lang w:eastAsia="tr-TR"/>
        </w:rPr>
        <w:t xml:space="preserve">. </w:t>
      </w:r>
      <w:r w:rsidR="00FA6198" w:rsidRPr="006731CB">
        <w:rPr>
          <w:rFonts w:ascii="Times New Roman" w:eastAsia="Times New Roman" w:hAnsi="Times New Roman"/>
          <w:sz w:val="24"/>
          <w:szCs w:val="24"/>
          <w:lang w:eastAsia="tr-TR"/>
        </w:rPr>
        <w:t xml:space="preserve">İç denetim sisteminin idarelerde daha etkin bir şekilde uygulanmasını sağlamak amacıyla insan kaynakları altyapısının geliştirilmesine yönelik çalışmalara hız verilecektir. </w:t>
      </w:r>
      <w:r w:rsidR="009A667D" w:rsidRPr="006731CB">
        <w:rPr>
          <w:rFonts w:ascii="Times New Roman" w:eastAsia="Times New Roman" w:hAnsi="Times New Roman"/>
          <w:sz w:val="24"/>
          <w:szCs w:val="24"/>
          <w:lang w:eastAsia="tr-TR"/>
        </w:rPr>
        <w:t xml:space="preserve">Kamu idarelerinin Kamu İç Denetim Standartlarına uyum düzeylerinin artırılması sağlanacaktır. </w:t>
      </w:r>
      <w:r w:rsidR="00E452F2" w:rsidRPr="006731CB">
        <w:rPr>
          <w:rFonts w:ascii="Times New Roman" w:eastAsia="Times New Roman" w:hAnsi="Times New Roman"/>
          <w:sz w:val="24"/>
          <w:szCs w:val="24"/>
          <w:lang w:eastAsia="tr-TR"/>
        </w:rPr>
        <w:t>Kamu i</w:t>
      </w:r>
      <w:r w:rsidR="009A667D" w:rsidRPr="006731CB">
        <w:rPr>
          <w:rFonts w:ascii="Times New Roman" w:eastAsia="Times New Roman" w:hAnsi="Times New Roman"/>
          <w:sz w:val="24"/>
          <w:szCs w:val="24"/>
          <w:lang w:eastAsia="tr-TR"/>
        </w:rPr>
        <w:t>darelerinde iç denetim faaliyetlerinin dış değerlendirmesi faaliyetlerine devam edilecektir.</w:t>
      </w:r>
      <w:r w:rsidR="00654A46" w:rsidRPr="006731CB">
        <w:rPr>
          <w:rFonts w:ascii="Times New Roman" w:hAnsi="Times New Roman"/>
          <w:sz w:val="24"/>
          <w:szCs w:val="24"/>
        </w:rPr>
        <w:t xml:space="preserve"> </w:t>
      </w:r>
    </w:p>
    <w:p w:rsidR="00D8110E" w:rsidRPr="006731CB" w:rsidRDefault="00150B72" w:rsidP="000F7FC0">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2</w:t>
      </w:r>
      <w:r w:rsidR="00D61DB7">
        <w:rPr>
          <w:rFonts w:ascii="Times New Roman" w:eastAsia="Times New Roman" w:hAnsi="Times New Roman" w:cs="Times New Roman"/>
          <w:sz w:val="24"/>
          <w:szCs w:val="24"/>
          <w:lang w:eastAsia="tr-TR"/>
        </w:rPr>
        <w:t>6</w:t>
      </w:r>
      <w:r w:rsidRPr="006731CB">
        <w:rPr>
          <w:rFonts w:ascii="Times New Roman" w:eastAsia="Times New Roman" w:hAnsi="Times New Roman" w:cs="Times New Roman"/>
          <w:sz w:val="24"/>
          <w:szCs w:val="24"/>
          <w:lang w:eastAsia="tr-TR"/>
        </w:rPr>
        <w:t xml:space="preserve">. </w:t>
      </w:r>
      <w:r w:rsidR="00D8110E" w:rsidRPr="006731CB">
        <w:rPr>
          <w:rFonts w:ascii="Times New Roman" w:eastAsia="Times New Roman" w:hAnsi="Times New Roman" w:cs="Times New Roman"/>
          <w:sz w:val="24"/>
          <w:szCs w:val="24"/>
          <w:lang w:eastAsia="tr-TR"/>
        </w:rPr>
        <w:t xml:space="preserve">Merkezi yönetim bütçesinin </w:t>
      </w:r>
      <w:r w:rsidR="00C6124B" w:rsidRPr="006731CB">
        <w:rPr>
          <w:rFonts w:ascii="Times New Roman" w:eastAsia="Times New Roman" w:hAnsi="Times New Roman" w:cs="Times New Roman"/>
          <w:sz w:val="24"/>
          <w:szCs w:val="24"/>
          <w:lang w:eastAsia="tr-TR"/>
        </w:rPr>
        <w:t xml:space="preserve">kamuoyu tarafından </w:t>
      </w:r>
      <w:r w:rsidR="00D8110E" w:rsidRPr="006731CB">
        <w:rPr>
          <w:rFonts w:ascii="Times New Roman" w:eastAsia="Times New Roman" w:hAnsi="Times New Roman" w:cs="Times New Roman"/>
          <w:sz w:val="24"/>
          <w:szCs w:val="24"/>
          <w:lang w:eastAsia="tr-TR"/>
        </w:rPr>
        <w:t>daha kolay anlaşılması amacıyla uluslararası standartlara uygun olarak hazırlanan Vatandaş Bütçe Rehberinin yayımlanmasına devam edilecektir.</w:t>
      </w:r>
    </w:p>
    <w:p w:rsidR="000F7FC0" w:rsidRDefault="00150B72" w:rsidP="000F7FC0">
      <w:pPr>
        <w:spacing w:after="120"/>
        <w:ind w:firstLine="567"/>
        <w:jc w:val="both"/>
        <w:rPr>
          <w:rFonts w:ascii="Times New Roman" w:eastAsia="Times New Roman" w:hAnsi="Times New Roman"/>
          <w:color w:val="00B050"/>
          <w:sz w:val="24"/>
          <w:szCs w:val="24"/>
          <w:lang w:eastAsia="tr-TR"/>
        </w:rPr>
      </w:pPr>
      <w:r w:rsidRPr="006731CB">
        <w:rPr>
          <w:rFonts w:ascii="Times New Roman" w:eastAsia="Times New Roman" w:hAnsi="Times New Roman" w:cs="Times New Roman"/>
          <w:sz w:val="24"/>
          <w:szCs w:val="24"/>
          <w:lang w:eastAsia="tr-TR"/>
        </w:rPr>
        <w:t>2</w:t>
      </w:r>
      <w:r w:rsidR="00D61DB7">
        <w:rPr>
          <w:rFonts w:ascii="Times New Roman" w:eastAsia="Times New Roman" w:hAnsi="Times New Roman" w:cs="Times New Roman"/>
          <w:sz w:val="24"/>
          <w:szCs w:val="24"/>
          <w:lang w:eastAsia="tr-TR"/>
        </w:rPr>
        <w:t>7</w:t>
      </w:r>
      <w:r w:rsidRPr="006731CB">
        <w:rPr>
          <w:rFonts w:ascii="Times New Roman" w:eastAsia="Times New Roman" w:hAnsi="Times New Roman" w:cs="Times New Roman"/>
          <w:sz w:val="24"/>
          <w:szCs w:val="24"/>
          <w:lang w:eastAsia="tr-TR"/>
        </w:rPr>
        <w:t xml:space="preserve">. </w:t>
      </w:r>
      <w:r w:rsidR="000F7FC0" w:rsidRPr="006731CB">
        <w:rPr>
          <w:rFonts w:ascii="Times New Roman" w:eastAsia="Times New Roman" w:hAnsi="Times New Roman" w:cs="Times New Roman"/>
          <w:sz w:val="24"/>
          <w:szCs w:val="24"/>
          <w:lang w:eastAsia="tr-TR"/>
        </w:rPr>
        <w:t xml:space="preserve">5018 sayılı Kamu Mali Yönetimi ve Kontrol Kanunu çerçevesinde mali saydamlığın ve hesap verilebilirliğin sağlanması </w:t>
      </w:r>
      <w:r w:rsidR="0009574C" w:rsidRPr="006731CB">
        <w:rPr>
          <w:rFonts w:ascii="Times New Roman" w:eastAsia="Times New Roman" w:hAnsi="Times New Roman" w:cs="Times New Roman"/>
          <w:sz w:val="24"/>
          <w:szCs w:val="24"/>
          <w:lang w:eastAsia="tr-TR"/>
        </w:rPr>
        <w:t>amacıyla,</w:t>
      </w:r>
      <w:r w:rsidR="000F7FC0" w:rsidRPr="006731CB">
        <w:rPr>
          <w:rFonts w:ascii="Times New Roman" w:eastAsia="Times New Roman" w:hAnsi="Times New Roman" w:cs="Times New Roman"/>
          <w:sz w:val="24"/>
          <w:szCs w:val="24"/>
          <w:lang w:eastAsia="tr-TR"/>
        </w:rPr>
        <w:t xml:space="preserve"> uluslararası standartlar</w:t>
      </w:r>
      <w:r w:rsidR="0009574C" w:rsidRPr="006731CB">
        <w:rPr>
          <w:rFonts w:ascii="Times New Roman" w:eastAsia="Times New Roman" w:hAnsi="Times New Roman" w:cs="Times New Roman"/>
          <w:sz w:val="24"/>
          <w:szCs w:val="24"/>
          <w:lang w:eastAsia="tr-TR"/>
        </w:rPr>
        <w:t>a uygun olarak</w:t>
      </w:r>
      <w:r w:rsidR="001C2FEE" w:rsidRPr="006731CB">
        <w:rPr>
          <w:rFonts w:ascii="Times New Roman" w:eastAsia="Times New Roman" w:hAnsi="Times New Roman" w:cs="Times New Roman"/>
          <w:sz w:val="24"/>
          <w:szCs w:val="24"/>
          <w:lang w:eastAsia="tr-TR"/>
        </w:rPr>
        <w:t xml:space="preserve"> hazırlanan</w:t>
      </w:r>
      <w:r w:rsidR="0009574C" w:rsidRPr="006731CB">
        <w:rPr>
          <w:rFonts w:ascii="Times New Roman" w:eastAsia="Times New Roman" w:hAnsi="Times New Roman" w:cs="Times New Roman"/>
          <w:sz w:val="24"/>
          <w:szCs w:val="24"/>
          <w:lang w:eastAsia="tr-TR"/>
        </w:rPr>
        <w:t xml:space="preserve"> </w:t>
      </w:r>
      <w:r w:rsidR="000F7FC0" w:rsidRPr="006731CB">
        <w:rPr>
          <w:rFonts w:ascii="Times New Roman" w:eastAsia="Times New Roman" w:hAnsi="Times New Roman"/>
          <w:sz w:val="24"/>
          <w:szCs w:val="24"/>
          <w:lang w:eastAsia="tr-TR"/>
        </w:rPr>
        <w:t>Devlet Muhasebe Standartlarına</w:t>
      </w:r>
      <w:r w:rsidR="001C2FEE" w:rsidRPr="006731CB">
        <w:rPr>
          <w:rFonts w:ascii="Times New Roman" w:eastAsia="Times New Roman" w:hAnsi="Times New Roman"/>
          <w:sz w:val="24"/>
          <w:szCs w:val="24"/>
          <w:lang w:eastAsia="tr-TR"/>
        </w:rPr>
        <w:t xml:space="preserve">, </w:t>
      </w:r>
      <w:r w:rsidR="001C2FEE" w:rsidRPr="006731CB">
        <w:rPr>
          <w:rFonts w:ascii="Times New Roman" w:eastAsia="Times New Roman" w:hAnsi="Times New Roman" w:cs="Times New Roman"/>
          <w:sz w:val="24"/>
          <w:szCs w:val="24"/>
          <w:lang w:eastAsia="tr-TR"/>
        </w:rPr>
        <w:t>muhasebe yönetmeliklerinin</w:t>
      </w:r>
      <w:r w:rsidR="000F7FC0" w:rsidRPr="006731CB">
        <w:rPr>
          <w:rFonts w:ascii="Times New Roman" w:eastAsia="Times New Roman" w:hAnsi="Times New Roman"/>
          <w:sz w:val="24"/>
          <w:szCs w:val="24"/>
          <w:lang w:eastAsia="tr-TR"/>
        </w:rPr>
        <w:t xml:space="preserve"> uyumunun </w:t>
      </w:r>
      <w:r w:rsidR="000F7FC0" w:rsidRPr="000F7FC0">
        <w:rPr>
          <w:rFonts w:ascii="Times New Roman" w:eastAsia="Times New Roman" w:hAnsi="Times New Roman"/>
          <w:sz w:val="24"/>
          <w:szCs w:val="24"/>
          <w:lang w:eastAsia="tr-TR"/>
        </w:rPr>
        <w:t>artırılması</w:t>
      </w:r>
      <w:r w:rsidR="001C2FEE">
        <w:rPr>
          <w:rFonts w:ascii="Times New Roman" w:eastAsia="Times New Roman" w:hAnsi="Times New Roman"/>
          <w:sz w:val="24"/>
          <w:szCs w:val="24"/>
          <w:lang w:eastAsia="tr-TR"/>
        </w:rPr>
        <w:t xml:space="preserve"> çalışmaların</w:t>
      </w:r>
      <w:r w:rsidR="000F7FC0" w:rsidRPr="000F7FC0">
        <w:rPr>
          <w:rFonts w:ascii="Times New Roman" w:eastAsia="Times New Roman" w:hAnsi="Times New Roman"/>
          <w:sz w:val="24"/>
          <w:szCs w:val="24"/>
          <w:lang w:eastAsia="tr-TR"/>
        </w:rPr>
        <w:t>a devam edilecektir.</w:t>
      </w:r>
      <w:r w:rsidR="000F7FC0">
        <w:rPr>
          <w:rFonts w:ascii="Times New Roman" w:eastAsia="Times New Roman" w:hAnsi="Times New Roman"/>
          <w:sz w:val="24"/>
          <w:szCs w:val="24"/>
          <w:lang w:eastAsia="tr-TR"/>
        </w:rPr>
        <w:t xml:space="preserve"> </w:t>
      </w:r>
    </w:p>
    <w:p w:rsidR="00EF33BA" w:rsidRPr="006731CB" w:rsidRDefault="00150B72" w:rsidP="00EF33BA">
      <w:pPr>
        <w:spacing w:after="120"/>
        <w:ind w:firstLine="567"/>
        <w:jc w:val="both"/>
        <w:rPr>
          <w:rFonts w:ascii="Times New Roman" w:eastAsia="Times New Roman" w:hAnsi="Times New Roman"/>
          <w:sz w:val="24"/>
          <w:szCs w:val="24"/>
          <w:lang w:eastAsia="tr-TR"/>
        </w:rPr>
      </w:pPr>
      <w:r w:rsidRPr="0042192E">
        <w:rPr>
          <w:rFonts w:ascii="Times New Roman" w:eastAsia="Times New Roman" w:hAnsi="Times New Roman" w:cs="Times New Roman"/>
          <w:sz w:val="24"/>
          <w:szCs w:val="24"/>
          <w:lang w:eastAsia="tr-TR"/>
        </w:rPr>
        <w:t>2</w:t>
      </w:r>
      <w:r w:rsidR="00D61DB7">
        <w:rPr>
          <w:rFonts w:ascii="Times New Roman" w:eastAsia="Times New Roman" w:hAnsi="Times New Roman" w:cs="Times New Roman"/>
          <w:sz w:val="24"/>
          <w:szCs w:val="24"/>
          <w:lang w:eastAsia="tr-TR"/>
        </w:rPr>
        <w:t>8</w:t>
      </w:r>
      <w:r w:rsidRPr="0042192E">
        <w:rPr>
          <w:rFonts w:ascii="Times New Roman" w:eastAsia="Times New Roman" w:hAnsi="Times New Roman" w:cs="Times New Roman"/>
          <w:sz w:val="24"/>
          <w:szCs w:val="24"/>
          <w:lang w:eastAsia="tr-TR"/>
        </w:rPr>
        <w:t xml:space="preserve">. </w:t>
      </w:r>
      <w:r w:rsidR="00EA6A6E" w:rsidRPr="0042192E">
        <w:rPr>
          <w:rFonts w:ascii="Times New Roman" w:eastAsia="Times New Roman" w:hAnsi="Times New Roman" w:cs="Times New Roman"/>
          <w:sz w:val="24"/>
          <w:szCs w:val="24"/>
          <w:lang w:eastAsia="tr-TR"/>
        </w:rPr>
        <w:t xml:space="preserve">Genel yönetim </w:t>
      </w:r>
      <w:r w:rsidR="00EA6A6E" w:rsidRPr="006731CB">
        <w:rPr>
          <w:rFonts w:ascii="Times New Roman" w:eastAsia="Times New Roman" w:hAnsi="Times New Roman" w:cs="Times New Roman"/>
          <w:sz w:val="24"/>
          <w:szCs w:val="24"/>
          <w:lang w:eastAsia="tr-TR"/>
        </w:rPr>
        <w:t>kapsamındaki kamu idarelerine ilişkin olarak mali analiz teknikleri reh</w:t>
      </w:r>
      <w:r w:rsidR="00FA6198" w:rsidRPr="006731CB">
        <w:rPr>
          <w:rFonts w:ascii="Times New Roman" w:eastAsia="Times New Roman" w:hAnsi="Times New Roman" w:cs="Times New Roman"/>
          <w:sz w:val="24"/>
          <w:szCs w:val="24"/>
          <w:lang w:eastAsia="tr-TR"/>
        </w:rPr>
        <w:t>beri ve mali analiz raporu ile u</w:t>
      </w:r>
      <w:r w:rsidR="00EA6A6E" w:rsidRPr="006731CB">
        <w:rPr>
          <w:rFonts w:ascii="Times New Roman" w:eastAsia="Times New Roman" w:hAnsi="Times New Roman" w:cs="Times New Roman"/>
          <w:sz w:val="24"/>
          <w:szCs w:val="24"/>
          <w:lang w:eastAsia="tr-TR"/>
        </w:rPr>
        <w:t>luslararası standartlara uygun mali istatistiklere ilişkin usul ve esasların yer alacağı a</w:t>
      </w:r>
      <w:r w:rsidR="00A46EA8" w:rsidRPr="006731CB">
        <w:rPr>
          <w:rFonts w:ascii="Times New Roman" w:eastAsia="Times New Roman" w:hAnsi="Times New Roman" w:cs="Times New Roman"/>
          <w:sz w:val="24"/>
          <w:szCs w:val="24"/>
          <w:lang w:eastAsia="tr-TR"/>
        </w:rPr>
        <w:t xml:space="preserve">yrı bir yönetmelik hazırlanacaktır. Merkezi </w:t>
      </w:r>
      <w:r w:rsidR="00EA6A6E" w:rsidRPr="006731CB">
        <w:rPr>
          <w:rFonts w:ascii="Times New Roman" w:eastAsia="Times New Roman" w:hAnsi="Times New Roman" w:cs="Times New Roman"/>
          <w:sz w:val="24"/>
          <w:szCs w:val="24"/>
          <w:lang w:eastAsia="tr-TR"/>
        </w:rPr>
        <w:t xml:space="preserve">yönetim kapsamındaki idareler için </w:t>
      </w:r>
      <w:r w:rsidR="00A46EA8" w:rsidRPr="006731CB">
        <w:rPr>
          <w:rFonts w:ascii="Times New Roman" w:eastAsia="Times New Roman" w:hAnsi="Times New Roman" w:cs="Times New Roman"/>
          <w:sz w:val="24"/>
          <w:szCs w:val="24"/>
          <w:lang w:eastAsia="tr-TR"/>
        </w:rPr>
        <w:t xml:space="preserve">ise </w:t>
      </w:r>
      <w:r w:rsidR="00EA6A6E" w:rsidRPr="006731CB">
        <w:rPr>
          <w:rFonts w:ascii="Times New Roman" w:eastAsia="Times New Roman" w:hAnsi="Times New Roman" w:cs="Times New Roman"/>
          <w:sz w:val="24"/>
          <w:szCs w:val="24"/>
          <w:lang w:eastAsia="tr-TR"/>
        </w:rPr>
        <w:t>vatandaş kesin hesap raporu hazırlana</w:t>
      </w:r>
      <w:r w:rsidR="001C2FEE" w:rsidRPr="006731CB">
        <w:rPr>
          <w:rFonts w:ascii="Times New Roman" w:eastAsia="Times New Roman" w:hAnsi="Times New Roman" w:cs="Times New Roman"/>
          <w:sz w:val="24"/>
          <w:szCs w:val="24"/>
          <w:lang w:eastAsia="tr-TR"/>
        </w:rPr>
        <w:t>rak</w:t>
      </w:r>
      <w:r w:rsidR="00EA6A6E" w:rsidRPr="006731CB">
        <w:rPr>
          <w:rFonts w:ascii="Times New Roman" w:eastAsia="Times New Roman" w:hAnsi="Times New Roman" w:cs="Times New Roman"/>
          <w:sz w:val="24"/>
          <w:szCs w:val="24"/>
          <w:lang w:eastAsia="tr-TR"/>
        </w:rPr>
        <w:t xml:space="preserve"> yayımlanacaktır.</w:t>
      </w:r>
      <w:r w:rsidR="000F7FC0" w:rsidRPr="006731CB">
        <w:rPr>
          <w:rFonts w:ascii="Times New Roman" w:eastAsia="Times New Roman" w:hAnsi="Times New Roman" w:cs="Times New Roman"/>
          <w:sz w:val="24"/>
          <w:szCs w:val="24"/>
          <w:lang w:eastAsia="tr-TR"/>
        </w:rPr>
        <w:t xml:space="preserve"> </w:t>
      </w:r>
    </w:p>
    <w:p w:rsidR="00EF33BA" w:rsidRPr="006731CB" w:rsidRDefault="00150B72" w:rsidP="00EF33BA">
      <w:pPr>
        <w:spacing w:after="120"/>
        <w:ind w:firstLine="567"/>
        <w:jc w:val="both"/>
        <w:rPr>
          <w:rFonts w:ascii="Times New Roman" w:eastAsia="Times New Roman" w:hAnsi="Times New Roman"/>
          <w:sz w:val="24"/>
          <w:szCs w:val="24"/>
          <w:lang w:eastAsia="tr-TR"/>
        </w:rPr>
      </w:pPr>
      <w:r w:rsidRPr="006731CB">
        <w:rPr>
          <w:rFonts w:ascii="Times New Roman" w:eastAsia="Times New Roman" w:hAnsi="Times New Roman" w:cs="Times New Roman"/>
          <w:sz w:val="24"/>
          <w:szCs w:val="24"/>
          <w:lang w:eastAsia="tr-TR"/>
        </w:rPr>
        <w:t>2</w:t>
      </w:r>
      <w:r w:rsidR="00D61DB7">
        <w:rPr>
          <w:rFonts w:ascii="Times New Roman" w:eastAsia="Times New Roman" w:hAnsi="Times New Roman" w:cs="Times New Roman"/>
          <w:sz w:val="24"/>
          <w:szCs w:val="24"/>
          <w:lang w:eastAsia="tr-TR"/>
        </w:rPr>
        <w:t>9</w:t>
      </w:r>
      <w:r w:rsidRPr="006731CB">
        <w:rPr>
          <w:rFonts w:ascii="Times New Roman" w:eastAsia="Times New Roman" w:hAnsi="Times New Roman" w:cs="Times New Roman"/>
          <w:sz w:val="24"/>
          <w:szCs w:val="24"/>
          <w:lang w:eastAsia="tr-TR"/>
        </w:rPr>
        <w:t xml:space="preserve">. </w:t>
      </w:r>
      <w:r w:rsidR="00EA6A6E" w:rsidRPr="006731CB">
        <w:rPr>
          <w:rFonts w:ascii="Times New Roman" w:eastAsia="Times New Roman" w:hAnsi="Times New Roman" w:cs="Times New Roman"/>
          <w:sz w:val="24"/>
          <w:szCs w:val="24"/>
          <w:lang w:eastAsia="tr-TR"/>
        </w:rPr>
        <w:t>Mali yönetim sistemimizin temel fonksiyonları olan; makroekonomik tahmin ve planlama, mali planlama, bütçe hazırlık, bütçe işlemleri ve bütçe uygulama, nakit yönetimi, borç yönetimi, gelir yönetimi, kamu personel yönetimi, varlık yönetimi, muhasebe ve mali raporlama, izleme ve değerlendirme ile denetim süreçleri, birlikte çalışabilirlik prensipleri çerçevesinde bütünleşik bir yapıya kavuşturulacaktır.</w:t>
      </w:r>
      <w:r w:rsidR="00994CC2" w:rsidRPr="006731CB">
        <w:rPr>
          <w:rFonts w:ascii="Times New Roman" w:eastAsia="Times New Roman" w:hAnsi="Times New Roman" w:cs="Times New Roman"/>
          <w:sz w:val="24"/>
          <w:szCs w:val="24"/>
          <w:lang w:eastAsia="tr-TR"/>
        </w:rPr>
        <w:t xml:space="preserve"> </w:t>
      </w:r>
      <w:r w:rsidR="00EF33BA" w:rsidRPr="006731CB">
        <w:rPr>
          <w:rFonts w:ascii="Times New Roman" w:eastAsia="Times New Roman" w:hAnsi="Times New Roman" w:cs="Times New Roman"/>
          <w:sz w:val="24"/>
          <w:szCs w:val="24"/>
          <w:lang w:eastAsia="tr-TR"/>
        </w:rPr>
        <w:t xml:space="preserve">Böylece, </w:t>
      </w:r>
      <w:r w:rsidR="00EA6A6E" w:rsidRPr="006731CB">
        <w:rPr>
          <w:rFonts w:ascii="Times New Roman" w:eastAsia="Times New Roman" w:hAnsi="Times New Roman" w:cs="Times New Roman"/>
          <w:sz w:val="24"/>
          <w:szCs w:val="24"/>
          <w:lang w:eastAsia="tr-TR"/>
        </w:rPr>
        <w:t>harcama süreçlerindeki kontrol düzeyi artırılacak, mali işlemlere ilişkin süreçler daha hızlı yerine getirilecek ve karar alma süreçlerinde istatistiksel analiz yöntemleri daha yaygın kullanılacaktır. Elektronik belge kullanımının artmasına bağlı olarak kaynak kullanımında etkinlik sağlanarak maliyetler düşürülecektir.</w:t>
      </w:r>
      <w:r w:rsidR="00994CC2" w:rsidRPr="006731CB">
        <w:rPr>
          <w:rFonts w:ascii="Times New Roman" w:eastAsia="Times New Roman" w:hAnsi="Times New Roman" w:cs="Times New Roman"/>
          <w:sz w:val="24"/>
          <w:szCs w:val="24"/>
          <w:lang w:eastAsia="tr-TR"/>
        </w:rPr>
        <w:t xml:space="preserve"> </w:t>
      </w:r>
    </w:p>
    <w:p w:rsidR="001527EA" w:rsidRDefault="001527EA" w:rsidP="00933401">
      <w:pPr>
        <w:pStyle w:val="ListeParagraf"/>
        <w:tabs>
          <w:tab w:val="left" w:pos="567"/>
        </w:tabs>
        <w:spacing w:after="120"/>
        <w:ind w:left="0"/>
        <w:contextualSpacing w:val="0"/>
        <w:jc w:val="both"/>
        <w:rPr>
          <w:rFonts w:ascii="Times New Roman" w:eastAsia="Times New Roman" w:hAnsi="Times New Roman"/>
          <w:color w:val="00B050"/>
          <w:sz w:val="24"/>
          <w:szCs w:val="24"/>
          <w:lang w:eastAsia="tr-TR"/>
        </w:rPr>
      </w:pPr>
      <w:r w:rsidRPr="00932F51">
        <w:rPr>
          <w:rFonts w:ascii="Times New Roman" w:eastAsia="Times New Roman" w:hAnsi="Times New Roman" w:cs="Times New Roman"/>
          <w:sz w:val="24"/>
          <w:szCs w:val="24"/>
          <w:lang w:eastAsia="tr-TR"/>
        </w:rPr>
        <w:tab/>
      </w:r>
      <w:r w:rsidR="00D61DB7">
        <w:rPr>
          <w:rFonts w:ascii="Times New Roman" w:eastAsia="Times New Roman" w:hAnsi="Times New Roman" w:cs="Times New Roman"/>
          <w:sz w:val="24"/>
          <w:szCs w:val="24"/>
          <w:lang w:eastAsia="tr-TR"/>
        </w:rPr>
        <w:t>30</w:t>
      </w:r>
      <w:r w:rsidR="00150B72">
        <w:rPr>
          <w:rFonts w:ascii="Times New Roman" w:eastAsia="Times New Roman" w:hAnsi="Times New Roman" w:cs="Times New Roman"/>
          <w:sz w:val="24"/>
          <w:szCs w:val="24"/>
          <w:lang w:eastAsia="tr-TR"/>
        </w:rPr>
        <w:t xml:space="preserve">. </w:t>
      </w:r>
      <w:r w:rsidRPr="00DF1E37">
        <w:rPr>
          <w:rFonts w:ascii="Times New Roman" w:eastAsia="Calibri" w:hAnsi="Times New Roman" w:cs="Times New Roman"/>
          <w:sz w:val="24"/>
          <w:szCs w:val="24"/>
        </w:rPr>
        <w:t xml:space="preserve">Kamu idarelerine tahsisli olan Hazine taşınmazlarından ilgili idarece tahsis amacında kullanılmayanların belirlenmesi, belirlenen bu taşınmazlara başka bir kamu idaresince kamu hizmetlerinin yürütülmesi için ihtiyaç duyulması halinde bu idarelere tahsisi, </w:t>
      </w:r>
      <w:r w:rsidR="00D8110E">
        <w:rPr>
          <w:rFonts w:ascii="Times New Roman" w:eastAsia="Calibri" w:hAnsi="Times New Roman" w:cs="Times New Roman"/>
          <w:sz w:val="24"/>
          <w:szCs w:val="24"/>
        </w:rPr>
        <w:t>ihtiyaç duyulmaması halinde</w:t>
      </w:r>
      <w:r w:rsidRPr="00DF1E37">
        <w:rPr>
          <w:rFonts w:ascii="Times New Roman" w:eastAsia="Calibri" w:hAnsi="Times New Roman" w:cs="Times New Roman"/>
          <w:sz w:val="24"/>
          <w:szCs w:val="24"/>
        </w:rPr>
        <w:t xml:space="preserve"> ekonomiye kazandırılmasına yönelik çalışmalara devam edilecektir.</w:t>
      </w:r>
      <w:r w:rsidR="00DF1E37" w:rsidRPr="00DF1E37">
        <w:rPr>
          <w:rFonts w:ascii="Times New Roman" w:eastAsia="Times New Roman" w:hAnsi="Times New Roman" w:cs="Times New Roman"/>
          <w:color w:val="0070C0"/>
          <w:sz w:val="24"/>
          <w:szCs w:val="24"/>
          <w:lang w:eastAsia="tr-TR"/>
        </w:rPr>
        <w:t xml:space="preserve"> </w:t>
      </w:r>
      <w:r w:rsidR="00DF1E37" w:rsidRPr="00994CC2">
        <w:rPr>
          <w:rFonts w:ascii="Times New Roman" w:eastAsia="Times New Roman" w:hAnsi="Times New Roman"/>
          <w:color w:val="00B050"/>
          <w:sz w:val="24"/>
          <w:szCs w:val="24"/>
          <w:lang w:eastAsia="tr-TR"/>
        </w:rPr>
        <w:t xml:space="preserve"> </w:t>
      </w:r>
    </w:p>
    <w:p w:rsidR="007B2A0B" w:rsidRPr="006731CB" w:rsidRDefault="007B2A0B" w:rsidP="007B2A0B">
      <w:pPr>
        <w:pStyle w:val="ListeParagraf"/>
        <w:tabs>
          <w:tab w:val="left" w:pos="567"/>
        </w:tabs>
        <w:spacing w:after="120"/>
        <w:ind w:left="0"/>
        <w:contextualSpacing w:val="0"/>
        <w:jc w:val="both"/>
        <w:rPr>
          <w:rFonts w:ascii="Times New Roman" w:eastAsia="Times New Roman" w:hAnsi="Times New Roman"/>
          <w:sz w:val="24"/>
          <w:szCs w:val="24"/>
          <w:lang w:eastAsia="tr-TR"/>
        </w:rPr>
      </w:pPr>
      <w:r>
        <w:rPr>
          <w:rFonts w:ascii="Times New Roman" w:eastAsia="Times New Roman" w:hAnsi="Times New Roman" w:cs="Times New Roman"/>
          <w:color w:val="0070C0"/>
          <w:sz w:val="24"/>
          <w:szCs w:val="24"/>
          <w:lang w:eastAsia="tr-TR"/>
        </w:rPr>
        <w:tab/>
      </w:r>
      <w:r w:rsidR="00D61DB7" w:rsidRPr="00D61DB7">
        <w:rPr>
          <w:rFonts w:ascii="Times New Roman" w:eastAsia="Times New Roman" w:hAnsi="Times New Roman" w:cs="Times New Roman"/>
          <w:sz w:val="24"/>
          <w:szCs w:val="24"/>
          <w:lang w:eastAsia="tr-TR"/>
        </w:rPr>
        <w:t>31</w:t>
      </w:r>
      <w:r w:rsidR="00150B72" w:rsidRPr="00D61DB7">
        <w:rPr>
          <w:rFonts w:ascii="Times New Roman" w:eastAsia="Times New Roman" w:hAnsi="Times New Roman" w:cs="Times New Roman"/>
          <w:sz w:val="24"/>
          <w:szCs w:val="24"/>
          <w:lang w:eastAsia="tr-TR"/>
        </w:rPr>
        <w:t xml:space="preserve">. </w:t>
      </w:r>
      <w:r w:rsidRPr="006731CB">
        <w:rPr>
          <w:rFonts w:ascii="Times New Roman" w:eastAsia="Times New Roman" w:hAnsi="Times New Roman" w:cs="Times New Roman"/>
          <w:sz w:val="24"/>
          <w:szCs w:val="24"/>
          <w:lang w:eastAsia="tr-TR"/>
        </w:rPr>
        <w:t>Yatırımları teşvik etmek amacıyla Hazine taşınmazların</w:t>
      </w:r>
      <w:r w:rsidR="00D8110E" w:rsidRPr="006731CB">
        <w:rPr>
          <w:rFonts w:ascii="Times New Roman" w:eastAsia="Times New Roman" w:hAnsi="Times New Roman" w:cs="Times New Roman"/>
          <w:sz w:val="24"/>
          <w:szCs w:val="24"/>
          <w:lang w:eastAsia="tr-TR"/>
        </w:rPr>
        <w:t>ın yatırımcılara uygun şartlarda</w:t>
      </w:r>
      <w:r w:rsidRPr="006731CB">
        <w:rPr>
          <w:rFonts w:ascii="Times New Roman" w:eastAsia="Times New Roman" w:hAnsi="Times New Roman" w:cs="Times New Roman"/>
          <w:sz w:val="24"/>
          <w:szCs w:val="24"/>
          <w:lang w:eastAsia="tr-TR"/>
        </w:rPr>
        <w:t xml:space="preserve"> doğrudan satılması sağlanacaktır.</w:t>
      </w:r>
      <w:r w:rsidRPr="006731CB">
        <w:rPr>
          <w:rFonts w:ascii="Times New Roman" w:eastAsia="Times New Roman" w:hAnsi="Times New Roman"/>
          <w:sz w:val="24"/>
          <w:szCs w:val="24"/>
          <w:lang w:eastAsia="tr-TR"/>
        </w:rPr>
        <w:t xml:space="preserve"> </w:t>
      </w:r>
      <w:r w:rsidRPr="006731CB">
        <w:rPr>
          <w:rFonts w:ascii="Times New Roman" w:eastAsia="Times New Roman" w:hAnsi="Times New Roman" w:cs="Times New Roman"/>
          <w:sz w:val="24"/>
          <w:szCs w:val="24"/>
          <w:lang w:eastAsia="tr-TR"/>
        </w:rPr>
        <w:t>Hazineye ait tarım arazilerinin kiracısına, kullanıcısına ya da paydaşlarına satılması işlemlerine devam edilecektir.</w:t>
      </w:r>
      <w:r w:rsidR="00233288" w:rsidRPr="006731CB">
        <w:rPr>
          <w:rFonts w:ascii="Times New Roman" w:eastAsia="Times New Roman" w:hAnsi="Times New Roman" w:cs="Times New Roman"/>
          <w:sz w:val="24"/>
          <w:szCs w:val="24"/>
          <w:lang w:eastAsia="tr-TR"/>
        </w:rPr>
        <w:t xml:space="preserve"> Kamu taşınmazlarının, başta tarım, hayvancılık, ağaçlandırma, enerji, turizm, kentsel dönüşüm ve </w:t>
      </w:r>
      <w:r w:rsidR="00233288" w:rsidRPr="006731CB">
        <w:rPr>
          <w:rFonts w:ascii="Times New Roman" w:eastAsia="Times New Roman" w:hAnsi="Times New Roman" w:cs="Times New Roman"/>
          <w:sz w:val="24"/>
          <w:szCs w:val="24"/>
          <w:lang w:eastAsia="tr-TR"/>
        </w:rPr>
        <w:lastRenderedPageBreak/>
        <w:t>konut stokunun yenilenmesi olmak üzere yatırımları teşvik amacıyla kullandırılması</w:t>
      </w:r>
      <w:r w:rsidR="00D8110E" w:rsidRPr="006731CB">
        <w:rPr>
          <w:rFonts w:ascii="Times New Roman" w:eastAsia="Times New Roman" w:hAnsi="Times New Roman" w:cs="Times New Roman"/>
          <w:sz w:val="24"/>
          <w:szCs w:val="24"/>
          <w:lang w:eastAsia="tr-TR"/>
        </w:rPr>
        <w:t xml:space="preserve"> sürdürülecektir.</w:t>
      </w:r>
    </w:p>
    <w:p w:rsidR="002D5A7B" w:rsidRPr="00932F51" w:rsidRDefault="00CA272C" w:rsidP="00774E7C">
      <w:pPr>
        <w:pStyle w:val="ListeParagraf"/>
        <w:tabs>
          <w:tab w:val="left" w:pos="567"/>
        </w:tabs>
        <w:spacing w:after="120"/>
        <w:ind w:left="0"/>
        <w:contextualSpacing w:val="0"/>
        <w:jc w:val="both"/>
        <w:rPr>
          <w:rFonts w:ascii="Times New Roman" w:eastAsia="Times New Roman" w:hAnsi="Times New Roman" w:cs="Times New Roman"/>
          <w:b/>
          <w:sz w:val="24"/>
          <w:szCs w:val="24"/>
          <w:lang w:eastAsia="tr-TR"/>
        </w:rPr>
      </w:pPr>
      <w:r>
        <w:rPr>
          <w:rFonts w:ascii="Times New Roman" w:eastAsia="Times New Roman" w:hAnsi="Times New Roman"/>
          <w:color w:val="00B050"/>
          <w:sz w:val="24"/>
          <w:szCs w:val="24"/>
          <w:lang w:eastAsia="tr-TR"/>
        </w:rPr>
        <w:tab/>
      </w:r>
      <w:r w:rsidR="002D5A7B" w:rsidRPr="00932F51">
        <w:rPr>
          <w:rFonts w:ascii="Times New Roman" w:eastAsia="Times New Roman" w:hAnsi="Times New Roman" w:cs="Times New Roman"/>
          <w:b/>
          <w:sz w:val="24"/>
          <w:szCs w:val="24"/>
          <w:lang w:eastAsia="tr-TR"/>
        </w:rPr>
        <w:t>Bütçe Gelirlerine İlişkin Temel Politikalar</w:t>
      </w:r>
    </w:p>
    <w:p w:rsidR="00237E66" w:rsidRPr="006731CB" w:rsidRDefault="008E2424" w:rsidP="00237E66">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D61DB7">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 xml:space="preserve">. </w:t>
      </w:r>
      <w:r w:rsidR="00237E66" w:rsidRPr="006731CB">
        <w:rPr>
          <w:rFonts w:ascii="Times New Roman" w:eastAsia="Times New Roman" w:hAnsi="Times New Roman" w:cs="Times New Roman"/>
          <w:sz w:val="24"/>
          <w:szCs w:val="24"/>
          <w:lang w:eastAsia="tr-TR"/>
        </w:rPr>
        <w:t xml:space="preserve">Kamu mali sisteminin ihtiyaç duyduğu gelirlerin sağlıklı ve sürdürülebilir kaynaklardan temin edilmesi temel amaçtır. Bu kapsamda, kamu gelir politikasına ilişkin olarak belirlenen ilke ve hedefler aşağıda belirtilmiştir. </w:t>
      </w:r>
    </w:p>
    <w:p w:rsidR="00237E66" w:rsidRPr="006731CB" w:rsidRDefault="003F7DA1" w:rsidP="00086888">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3</w:t>
      </w:r>
      <w:r w:rsidR="00D61DB7">
        <w:rPr>
          <w:rFonts w:ascii="Times New Roman" w:eastAsia="Times New Roman" w:hAnsi="Times New Roman" w:cs="Times New Roman"/>
          <w:sz w:val="24"/>
          <w:szCs w:val="24"/>
          <w:lang w:eastAsia="tr-TR"/>
        </w:rPr>
        <w:t>3</w:t>
      </w:r>
      <w:r w:rsidRPr="006731CB">
        <w:rPr>
          <w:rFonts w:ascii="Times New Roman" w:eastAsia="Times New Roman" w:hAnsi="Times New Roman" w:cs="Times New Roman"/>
          <w:sz w:val="24"/>
          <w:szCs w:val="24"/>
          <w:lang w:eastAsia="tr-TR"/>
        </w:rPr>
        <w:t xml:space="preserve">. </w:t>
      </w:r>
      <w:r w:rsidR="000F488D" w:rsidRPr="006731CB">
        <w:rPr>
          <w:rFonts w:ascii="Times New Roman" w:eastAsia="Times New Roman" w:hAnsi="Times New Roman" w:cs="Times New Roman"/>
          <w:sz w:val="24"/>
          <w:szCs w:val="24"/>
          <w:lang w:eastAsia="tr-TR"/>
        </w:rPr>
        <w:t>201</w:t>
      </w:r>
      <w:r w:rsidR="00407FE9" w:rsidRPr="006731CB">
        <w:rPr>
          <w:rFonts w:ascii="Times New Roman" w:eastAsia="Times New Roman" w:hAnsi="Times New Roman" w:cs="Times New Roman"/>
          <w:sz w:val="24"/>
          <w:szCs w:val="24"/>
          <w:lang w:eastAsia="tr-TR"/>
        </w:rPr>
        <w:t>8</w:t>
      </w:r>
      <w:r w:rsidR="000F488D" w:rsidRPr="006731CB">
        <w:rPr>
          <w:rFonts w:ascii="Times New Roman" w:eastAsia="Times New Roman" w:hAnsi="Times New Roman" w:cs="Times New Roman"/>
          <w:sz w:val="24"/>
          <w:szCs w:val="24"/>
          <w:lang w:eastAsia="tr-TR"/>
        </w:rPr>
        <w:t>-20</w:t>
      </w:r>
      <w:r w:rsidR="00407FE9" w:rsidRPr="006731CB">
        <w:rPr>
          <w:rFonts w:ascii="Times New Roman" w:eastAsia="Times New Roman" w:hAnsi="Times New Roman" w:cs="Times New Roman"/>
          <w:sz w:val="24"/>
          <w:szCs w:val="24"/>
          <w:lang w:eastAsia="tr-TR"/>
        </w:rPr>
        <w:t>20</w:t>
      </w:r>
      <w:r w:rsidR="000F488D"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döneminde izlenecek kamu gelir politikası</w:t>
      </w:r>
      <w:r w:rsidR="00E452F2" w:rsidRPr="006731CB">
        <w:rPr>
          <w:rFonts w:ascii="Times New Roman" w:eastAsia="Times New Roman" w:hAnsi="Times New Roman" w:cs="Times New Roman"/>
          <w:sz w:val="24"/>
          <w:szCs w:val="24"/>
          <w:lang w:eastAsia="tr-TR"/>
        </w:rPr>
        <w:t>;</w:t>
      </w:r>
      <w:r w:rsidR="002D5A7B" w:rsidRPr="006731CB">
        <w:rPr>
          <w:rFonts w:ascii="Times New Roman" w:eastAsia="Times New Roman" w:hAnsi="Times New Roman" w:cs="Times New Roman"/>
          <w:sz w:val="24"/>
          <w:szCs w:val="24"/>
          <w:lang w:eastAsia="tr-TR"/>
        </w:rPr>
        <w:t xml:space="preserve"> </w:t>
      </w:r>
      <w:r w:rsidR="00086888" w:rsidRPr="006731CB">
        <w:rPr>
          <w:rFonts w:ascii="Times New Roman" w:eastAsia="Times New Roman" w:hAnsi="Times New Roman" w:cs="Times New Roman"/>
          <w:sz w:val="24"/>
          <w:szCs w:val="24"/>
          <w:lang w:eastAsia="tr-TR"/>
        </w:rPr>
        <w:t xml:space="preserve">vergi sisteminde adalet ve etkinliğin sağlanması </w:t>
      </w:r>
      <w:r w:rsidR="00E452F2" w:rsidRPr="006731CB">
        <w:rPr>
          <w:rFonts w:ascii="Times New Roman" w:eastAsia="Times New Roman" w:hAnsi="Times New Roman" w:cs="Times New Roman"/>
          <w:sz w:val="24"/>
          <w:szCs w:val="24"/>
          <w:lang w:eastAsia="tr-TR"/>
        </w:rPr>
        <w:t>hedef</w:t>
      </w:r>
      <w:r w:rsidR="00475DB1" w:rsidRPr="006731CB">
        <w:rPr>
          <w:rFonts w:ascii="Times New Roman" w:eastAsia="Times New Roman" w:hAnsi="Times New Roman" w:cs="Times New Roman"/>
          <w:sz w:val="24"/>
          <w:szCs w:val="24"/>
          <w:lang w:eastAsia="tr-TR"/>
        </w:rPr>
        <w:t>ler</w:t>
      </w:r>
      <w:r w:rsidR="00E452F2" w:rsidRPr="006731CB">
        <w:rPr>
          <w:rFonts w:ascii="Times New Roman" w:eastAsia="Times New Roman" w:hAnsi="Times New Roman" w:cs="Times New Roman"/>
          <w:sz w:val="24"/>
          <w:szCs w:val="24"/>
          <w:lang w:eastAsia="tr-TR"/>
        </w:rPr>
        <w:t xml:space="preserve">i </w:t>
      </w:r>
      <w:r w:rsidR="005B2BCA" w:rsidRPr="006731CB">
        <w:rPr>
          <w:rFonts w:ascii="Times New Roman" w:eastAsia="Times New Roman" w:hAnsi="Times New Roman" w:cs="Times New Roman"/>
          <w:sz w:val="24"/>
          <w:szCs w:val="24"/>
          <w:lang w:eastAsia="tr-TR"/>
        </w:rPr>
        <w:t>doğrultusunda</w:t>
      </w:r>
      <w:r w:rsidR="00237E66" w:rsidRPr="006731CB">
        <w:rPr>
          <w:rFonts w:ascii="Times New Roman" w:eastAsia="Times New Roman" w:hAnsi="Times New Roman" w:cs="Times New Roman"/>
          <w:sz w:val="24"/>
          <w:szCs w:val="24"/>
          <w:lang w:eastAsia="tr-TR"/>
        </w:rPr>
        <w:t>,</w:t>
      </w:r>
      <w:r w:rsidR="002D5A7B" w:rsidRPr="006731CB">
        <w:rPr>
          <w:rFonts w:ascii="Times New Roman" w:eastAsia="Times New Roman" w:hAnsi="Times New Roman" w:cs="Times New Roman"/>
          <w:sz w:val="24"/>
          <w:szCs w:val="24"/>
          <w:lang w:eastAsia="tr-TR"/>
        </w:rPr>
        <w:t xml:space="preserve"> </w:t>
      </w:r>
      <w:r w:rsidR="00086888" w:rsidRPr="006731CB">
        <w:rPr>
          <w:rFonts w:ascii="Times New Roman" w:eastAsia="Times New Roman" w:hAnsi="Times New Roman" w:cs="Times New Roman"/>
          <w:sz w:val="24"/>
          <w:szCs w:val="24"/>
          <w:lang w:eastAsia="tr-TR"/>
        </w:rPr>
        <w:t xml:space="preserve">ekonominin uluslararası düzeyde rekabet gücünü artıracak, </w:t>
      </w:r>
      <w:r w:rsidR="005B2BCA" w:rsidRPr="006731CB">
        <w:rPr>
          <w:rFonts w:ascii="Times New Roman" w:eastAsia="Times New Roman" w:hAnsi="Times New Roman" w:cs="Times New Roman"/>
          <w:sz w:val="24"/>
          <w:szCs w:val="24"/>
          <w:lang w:eastAsia="tr-TR"/>
        </w:rPr>
        <w:t xml:space="preserve">istihdamı ve yatırımları teşvik edecek, </w:t>
      </w:r>
      <w:r w:rsidR="0066470C" w:rsidRPr="006731CB">
        <w:rPr>
          <w:rFonts w:ascii="Times New Roman" w:eastAsia="Times New Roman" w:hAnsi="Times New Roman" w:cs="Times New Roman"/>
          <w:sz w:val="24"/>
          <w:szCs w:val="24"/>
          <w:lang w:eastAsia="tr-TR"/>
        </w:rPr>
        <w:t xml:space="preserve">vergi tabanını genişletecek ve kayıt dışılığı azaltacak, </w:t>
      </w:r>
      <w:r w:rsidR="005B2BCA" w:rsidRPr="006731CB">
        <w:rPr>
          <w:rFonts w:ascii="Times New Roman" w:eastAsia="Times New Roman" w:hAnsi="Times New Roman" w:cs="Times New Roman"/>
          <w:sz w:val="24"/>
          <w:szCs w:val="24"/>
          <w:lang w:eastAsia="tr-TR"/>
        </w:rPr>
        <w:t xml:space="preserve">yurtiçi tasarrufları artıracak, </w:t>
      </w:r>
      <w:r w:rsidR="00086888" w:rsidRPr="006731CB">
        <w:rPr>
          <w:rFonts w:ascii="Times New Roman" w:eastAsia="Times New Roman" w:hAnsi="Times New Roman" w:cs="Times New Roman"/>
          <w:sz w:val="24"/>
          <w:szCs w:val="24"/>
          <w:lang w:eastAsia="tr-TR"/>
        </w:rPr>
        <w:t xml:space="preserve">Türkiye’nin bölgesel ve küresel bir finans merkezi olmasına katkı sağlayacak şekilde yürütülecektir. </w:t>
      </w:r>
    </w:p>
    <w:p w:rsidR="002C3563" w:rsidRPr="006731CB" w:rsidRDefault="003F7DA1" w:rsidP="00B001C5">
      <w:pPr>
        <w:spacing w:after="120"/>
        <w:ind w:firstLine="567"/>
        <w:jc w:val="both"/>
        <w:rPr>
          <w:rFonts w:ascii="Times New Roman" w:eastAsia="Times New Roman" w:hAnsi="Times New Roman" w:cs="Times New Roman"/>
          <w:sz w:val="24"/>
          <w:szCs w:val="24"/>
          <w:lang w:eastAsia="tr-TR"/>
        </w:rPr>
      </w:pPr>
      <w:proofErr w:type="gramStart"/>
      <w:r w:rsidRPr="006731CB">
        <w:rPr>
          <w:rFonts w:ascii="Times New Roman" w:eastAsia="Times New Roman" w:hAnsi="Times New Roman" w:cs="Times New Roman"/>
          <w:sz w:val="24"/>
          <w:szCs w:val="24"/>
          <w:lang w:eastAsia="tr-TR"/>
        </w:rPr>
        <w:t>3</w:t>
      </w:r>
      <w:r w:rsidR="00D61DB7">
        <w:rPr>
          <w:rFonts w:ascii="Times New Roman" w:eastAsia="Times New Roman" w:hAnsi="Times New Roman" w:cs="Times New Roman"/>
          <w:sz w:val="24"/>
          <w:szCs w:val="24"/>
          <w:lang w:eastAsia="tr-TR"/>
        </w:rPr>
        <w:t>4</w:t>
      </w:r>
      <w:r w:rsidRPr="006731CB">
        <w:rPr>
          <w:rFonts w:ascii="Times New Roman" w:eastAsia="Times New Roman" w:hAnsi="Times New Roman" w:cs="Times New Roman"/>
          <w:sz w:val="24"/>
          <w:szCs w:val="24"/>
          <w:lang w:eastAsia="tr-TR"/>
        </w:rPr>
        <w:t xml:space="preserve">. </w:t>
      </w:r>
      <w:r w:rsidR="00E928B7" w:rsidRPr="006731CB">
        <w:rPr>
          <w:rFonts w:ascii="Times New Roman" w:eastAsia="Times New Roman" w:hAnsi="Times New Roman" w:cs="Times New Roman"/>
          <w:sz w:val="24"/>
          <w:szCs w:val="24"/>
          <w:lang w:eastAsia="tr-TR"/>
        </w:rPr>
        <w:t xml:space="preserve">Ekonomik ve </w:t>
      </w:r>
      <w:r w:rsidR="0020312C" w:rsidRPr="006731CB">
        <w:rPr>
          <w:rFonts w:ascii="Times New Roman" w:eastAsia="Times New Roman" w:hAnsi="Times New Roman" w:cs="Times New Roman"/>
          <w:sz w:val="24"/>
          <w:szCs w:val="24"/>
          <w:lang w:eastAsia="tr-TR"/>
        </w:rPr>
        <w:t xml:space="preserve">sosyal politikalar çerçevesinde </w:t>
      </w:r>
      <w:r w:rsidR="00E928B7" w:rsidRPr="006731CB">
        <w:rPr>
          <w:rFonts w:ascii="Times New Roman" w:eastAsia="Times New Roman" w:hAnsi="Times New Roman" w:cs="Times New Roman"/>
          <w:sz w:val="24"/>
          <w:szCs w:val="24"/>
          <w:lang w:eastAsia="tr-TR"/>
        </w:rPr>
        <w:t xml:space="preserve">vergi mevzuatının </w:t>
      </w:r>
      <w:r w:rsidR="009D0AD7" w:rsidRPr="006731CB">
        <w:rPr>
          <w:rFonts w:ascii="Times New Roman" w:eastAsia="Times New Roman" w:hAnsi="Times New Roman" w:cs="Times New Roman"/>
          <w:sz w:val="24"/>
          <w:szCs w:val="24"/>
          <w:lang w:eastAsia="tr-TR"/>
        </w:rPr>
        <w:t xml:space="preserve">daha basit ve kolay </w:t>
      </w:r>
      <w:r w:rsidR="00CB3EA5" w:rsidRPr="006731CB">
        <w:rPr>
          <w:rFonts w:ascii="Times New Roman" w:eastAsia="Times New Roman" w:hAnsi="Times New Roman" w:cs="Times New Roman"/>
          <w:sz w:val="24"/>
          <w:szCs w:val="24"/>
          <w:lang w:eastAsia="tr-TR"/>
        </w:rPr>
        <w:t xml:space="preserve">uygulanabilir </w:t>
      </w:r>
      <w:r w:rsidR="00E928B7" w:rsidRPr="006731CB">
        <w:rPr>
          <w:rFonts w:ascii="Times New Roman" w:eastAsia="Times New Roman" w:hAnsi="Times New Roman" w:cs="Times New Roman"/>
          <w:sz w:val="24"/>
          <w:szCs w:val="24"/>
          <w:lang w:eastAsia="tr-TR"/>
        </w:rPr>
        <w:t xml:space="preserve">hale </w:t>
      </w:r>
      <w:r w:rsidR="002C3563" w:rsidRPr="006731CB">
        <w:rPr>
          <w:rFonts w:ascii="Times New Roman" w:eastAsia="Times New Roman" w:hAnsi="Times New Roman" w:cs="Times New Roman"/>
          <w:sz w:val="24"/>
          <w:szCs w:val="24"/>
          <w:lang w:eastAsia="tr-TR"/>
        </w:rPr>
        <w:t>getirilmesini</w:t>
      </w:r>
      <w:r w:rsidR="00086888" w:rsidRPr="006731CB">
        <w:rPr>
          <w:rFonts w:ascii="Times New Roman" w:eastAsia="Times New Roman" w:hAnsi="Times New Roman" w:cs="Times New Roman"/>
          <w:sz w:val="24"/>
          <w:szCs w:val="24"/>
          <w:lang w:eastAsia="tr-TR"/>
        </w:rPr>
        <w:t xml:space="preserve">, vergilemede istikrar ve </w:t>
      </w:r>
      <w:r w:rsidR="002C3563" w:rsidRPr="006731CB">
        <w:rPr>
          <w:rFonts w:ascii="Times New Roman" w:eastAsia="Times New Roman" w:hAnsi="Times New Roman" w:cs="Times New Roman"/>
          <w:sz w:val="24"/>
          <w:szCs w:val="24"/>
          <w:lang w:eastAsia="tr-TR"/>
        </w:rPr>
        <w:t>öngörülebilirliğin esas olmasını</w:t>
      </w:r>
      <w:r w:rsidR="00086888" w:rsidRPr="006731CB">
        <w:rPr>
          <w:rFonts w:ascii="Times New Roman" w:eastAsia="Times New Roman" w:hAnsi="Times New Roman" w:cs="Times New Roman"/>
          <w:sz w:val="24"/>
          <w:szCs w:val="24"/>
          <w:lang w:eastAsia="tr-TR"/>
        </w:rPr>
        <w:t>, uluslararası düzey</w:t>
      </w:r>
      <w:r w:rsidR="002C3563" w:rsidRPr="006731CB">
        <w:rPr>
          <w:rFonts w:ascii="Times New Roman" w:eastAsia="Times New Roman" w:hAnsi="Times New Roman" w:cs="Times New Roman"/>
          <w:sz w:val="24"/>
          <w:szCs w:val="24"/>
          <w:lang w:eastAsia="tr-TR"/>
        </w:rPr>
        <w:t>de rekabet gücünün artırılmasını</w:t>
      </w:r>
      <w:r w:rsidR="00086888" w:rsidRPr="006731CB">
        <w:rPr>
          <w:rFonts w:ascii="Times New Roman" w:eastAsia="Times New Roman" w:hAnsi="Times New Roman" w:cs="Times New Roman"/>
          <w:sz w:val="24"/>
          <w:szCs w:val="24"/>
          <w:lang w:eastAsia="tr-TR"/>
        </w:rPr>
        <w:t>, ülkemizin bilgi, teknoloji ve yenilik üretiminde söz sahi</w:t>
      </w:r>
      <w:r w:rsidR="00AA33CC" w:rsidRPr="006731CB">
        <w:rPr>
          <w:rFonts w:ascii="Times New Roman" w:eastAsia="Times New Roman" w:hAnsi="Times New Roman" w:cs="Times New Roman"/>
          <w:sz w:val="24"/>
          <w:szCs w:val="24"/>
          <w:lang w:eastAsia="tr-TR"/>
        </w:rPr>
        <w:t>bi ülkeler arasında yer alması</w:t>
      </w:r>
      <w:r w:rsidR="00BE3C5A" w:rsidRPr="006731CB">
        <w:rPr>
          <w:rFonts w:ascii="Times New Roman" w:eastAsia="Times New Roman" w:hAnsi="Times New Roman" w:cs="Times New Roman"/>
          <w:sz w:val="24"/>
          <w:szCs w:val="24"/>
          <w:lang w:eastAsia="tr-TR"/>
        </w:rPr>
        <w:t>nı hedefleyen ve</w:t>
      </w:r>
      <w:r w:rsidR="002C3563" w:rsidRPr="006731CB">
        <w:rPr>
          <w:rFonts w:ascii="Times New Roman" w:eastAsia="Times New Roman" w:hAnsi="Times New Roman" w:cs="Times New Roman"/>
          <w:sz w:val="24"/>
          <w:szCs w:val="24"/>
          <w:lang w:eastAsia="tr-TR"/>
        </w:rPr>
        <w:t xml:space="preserve"> </w:t>
      </w:r>
      <w:r w:rsidR="00086888" w:rsidRPr="006731CB">
        <w:rPr>
          <w:rFonts w:ascii="Times New Roman" w:eastAsia="Times New Roman" w:hAnsi="Times New Roman" w:cs="Times New Roman"/>
          <w:sz w:val="24"/>
          <w:szCs w:val="24"/>
          <w:lang w:eastAsia="tr-TR"/>
        </w:rPr>
        <w:t>katma değeri yüksek yatırım ve nitelikli istihdamı destekleyen vergi politikalarının geliştirilmesine devam edilecektir.</w:t>
      </w:r>
      <w:r w:rsidR="007B2A0B" w:rsidRPr="006731CB">
        <w:rPr>
          <w:rFonts w:ascii="Times New Roman" w:eastAsia="Times New Roman" w:hAnsi="Times New Roman" w:cs="Times New Roman"/>
          <w:sz w:val="24"/>
          <w:szCs w:val="24"/>
          <w:lang w:eastAsia="tr-TR"/>
        </w:rPr>
        <w:t xml:space="preserve"> </w:t>
      </w:r>
      <w:proofErr w:type="gramEnd"/>
      <w:r w:rsidR="002C3563" w:rsidRPr="006731CB">
        <w:rPr>
          <w:rFonts w:ascii="Times New Roman" w:eastAsia="Times New Roman" w:hAnsi="Times New Roman" w:cs="Times New Roman"/>
          <w:sz w:val="24"/>
          <w:szCs w:val="24"/>
          <w:lang w:eastAsia="tr-TR"/>
        </w:rPr>
        <w:t xml:space="preserve">Bu kapsamda Gelir Vergisi Kanunu, Kurumlar Vergisi Kanunu ve Vergi Usul Kanunu kapsamlı bir şekilde </w:t>
      </w:r>
      <w:r w:rsidR="00237E66" w:rsidRPr="006731CB">
        <w:rPr>
          <w:rFonts w:ascii="Times New Roman" w:eastAsia="Times New Roman" w:hAnsi="Times New Roman" w:cs="Times New Roman"/>
          <w:sz w:val="24"/>
          <w:szCs w:val="24"/>
          <w:lang w:eastAsia="tr-TR"/>
        </w:rPr>
        <w:t>reforma tabi tutulacaktır.</w:t>
      </w:r>
      <w:r w:rsidR="002C3563" w:rsidRPr="006731CB">
        <w:rPr>
          <w:rFonts w:ascii="Times New Roman" w:eastAsia="Times New Roman" w:hAnsi="Times New Roman" w:cs="Times New Roman"/>
          <w:sz w:val="24"/>
          <w:szCs w:val="24"/>
          <w:lang w:eastAsia="tr-TR"/>
        </w:rPr>
        <w:t xml:space="preserve"> </w:t>
      </w:r>
    </w:p>
    <w:p w:rsidR="00B001C5" w:rsidRPr="006731CB" w:rsidRDefault="003F7DA1" w:rsidP="00B001C5">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3</w:t>
      </w:r>
      <w:r w:rsidR="00D61DB7">
        <w:rPr>
          <w:rFonts w:ascii="Times New Roman" w:eastAsia="Times New Roman" w:hAnsi="Times New Roman" w:cs="Times New Roman"/>
          <w:sz w:val="24"/>
          <w:szCs w:val="24"/>
          <w:lang w:eastAsia="tr-TR"/>
        </w:rPr>
        <w:t>5</w:t>
      </w:r>
      <w:r w:rsidRPr="006731CB">
        <w:rPr>
          <w:rFonts w:ascii="Times New Roman" w:eastAsia="Times New Roman" w:hAnsi="Times New Roman" w:cs="Times New Roman"/>
          <w:sz w:val="24"/>
          <w:szCs w:val="24"/>
          <w:lang w:eastAsia="tr-TR"/>
        </w:rPr>
        <w:t xml:space="preserve">. </w:t>
      </w:r>
      <w:r w:rsidR="00B001C5" w:rsidRPr="006731CB">
        <w:rPr>
          <w:rFonts w:ascii="Times New Roman" w:eastAsia="Times New Roman" w:hAnsi="Times New Roman" w:cs="Times New Roman"/>
          <w:sz w:val="24"/>
          <w:szCs w:val="24"/>
          <w:lang w:eastAsia="tr-TR"/>
        </w:rPr>
        <w:t>İşletmeler üzerinde oluşan finansman yükünü gidermek üzere Katma Değer Vergisi sisteminin yeniden düzenlenmesi çalışmaları yürütülecektir.</w:t>
      </w:r>
      <w:r w:rsidR="0066470C" w:rsidRPr="006731CB">
        <w:rPr>
          <w:rFonts w:ascii="Times New Roman" w:eastAsia="Times New Roman" w:hAnsi="Times New Roman" w:cs="Times New Roman"/>
          <w:sz w:val="24"/>
          <w:szCs w:val="24"/>
          <w:lang w:eastAsia="tr-TR"/>
        </w:rPr>
        <w:t xml:space="preserve"> </w:t>
      </w:r>
    </w:p>
    <w:p w:rsidR="00086888" w:rsidRPr="006731CB" w:rsidRDefault="003F7DA1" w:rsidP="00086888">
      <w:pPr>
        <w:spacing w:after="120"/>
        <w:ind w:firstLine="567"/>
        <w:jc w:val="both"/>
        <w:rPr>
          <w:rFonts w:ascii="Times New Roman" w:eastAsia="Times New Roman" w:hAnsi="Times New Roman" w:cs="Times New Roman"/>
          <w:sz w:val="24"/>
          <w:szCs w:val="24"/>
          <w:lang w:eastAsia="tr-TR"/>
        </w:rPr>
      </w:pPr>
      <w:r w:rsidRPr="006731CB">
        <w:rPr>
          <w:rFonts w:ascii="Times New Roman" w:eastAsia="Calibri" w:hAnsi="Times New Roman" w:cs="Times New Roman"/>
          <w:sz w:val="24"/>
          <w:szCs w:val="24"/>
        </w:rPr>
        <w:t>3</w:t>
      </w:r>
      <w:r w:rsidR="00D61DB7">
        <w:rPr>
          <w:rFonts w:ascii="Times New Roman" w:eastAsia="Calibri" w:hAnsi="Times New Roman" w:cs="Times New Roman"/>
          <w:sz w:val="24"/>
          <w:szCs w:val="24"/>
        </w:rPr>
        <w:t>6</w:t>
      </w:r>
      <w:r w:rsidRPr="006731CB">
        <w:rPr>
          <w:rFonts w:ascii="Times New Roman" w:eastAsia="Calibri" w:hAnsi="Times New Roman" w:cs="Times New Roman"/>
          <w:sz w:val="24"/>
          <w:szCs w:val="24"/>
        </w:rPr>
        <w:t xml:space="preserve">. </w:t>
      </w:r>
      <w:r w:rsidR="00086888" w:rsidRPr="006731CB">
        <w:rPr>
          <w:rFonts w:ascii="Times New Roman" w:eastAsia="Calibri" w:hAnsi="Times New Roman" w:cs="Times New Roman"/>
          <w:sz w:val="24"/>
          <w:szCs w:val="24"/>
        </w:rPr>
        <w:t xml:space="preserve">Vergi mevzuatında yapılacak düzenlemeler ile </w:t>
      </w:r>
      <w:r w:rsidR="00086888" w:rsidRPr="006731CB">
        <w:rPr>
          <w:rFonts w:ascii="Times New Roman" w:eastAsia="Times New Roman" w:hAnsi="Times New Roman" w:cs="Times New Roman"/>
          <w:sz w:val="24"/>
          <w:szCs w:val="24"/>
          <w:lang w:eastAsia="tr-TR"/>
        </w:rPr>
        <w:t xml:space="preserve">yurt içi tasarrufların artırılarak yüksek düzeyde tutulması ve bunların ekonomik sisteme </w:t>
      </w:r>
      <w:proofErr w:type="gramStart"/>
      <w:r w:rsidR="00086888" w:rsidRPr="006731CB">
        <w:rPr>
          <w:rFonts w:ascii="Times New Roman" w:eastAsia="Times New Roman" w:hAnsi="Times New Roman" w:cs="Times New Roman"/>
          <w:sz w:val="24"/>
          <w:szCs w:val="24"/>
          <w:lang w:eastAsia="tr-TR"/>
        </w:rPr>
        <w:t>dahil</w:t>
      </w:r>
      <w:proofErr w:type="gramEnd"/>
      <w:r w:rsidR="00086888" w:rsidRPr="006731CB">
        <w:rPr>
          <w:rFonts w:ascii="Times New Roman" w:eastAsia="Times New Roman" w:hAnsi="Times New Roman" w:cs="Times New Roman"/>
          <w:sz w:val="24"/>
          <w:szCs w:val="24"/>
          <w:lang w:eastAsia="tr-TR"/>
        </w:rPr>
        <w:t xml:space="preserve"> edilmesi </w:t>
      </w:r>
      <w:r w:rsidR="00086888" w:rsidRPr="006731CB">
        <w:rPr>
          <w:rFonts w:ascii="Times New Roman" w:eastAsia="Calibri" w:hAnsi="Times New Roman" w:cs="Times New Roman"/>
          <w:sz w:val="24"/>
          <w:szCs w:val="24"/>
        </w:rPr>
        <w:t xml:space="preserve">özendirilecektir. </w:t>
      </w:r>
    </w:p>
    <w:p w:rsidR="00AA33CC" w:rsidRPr="006731CB" w:rsidRDefault="003F7DA1" w:rsidP="00AA33CC">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3</w:t>
      </w:r>
      <w:r w:rsidR="00D61DB7">
        <w:rPr>
          <w:rFonts w:ascii="Times New Roman" w:eastAsia="Times New Roman" w:hAnsi="Times New Roman" w:cs="Times New Roman"/>
          <w:sz w:val="24"/>
          <w:szCs w:val="24"/>
          <w:lang w:eastAsia="tr-TR"/>
        </w:rPr>
        <w:t>7</w:t>
      </w:r>
      <w:r w:rsidRPr="006731CB">
        <w:rPr>
          <w:rFonts w:ascii="Times New Roman" w:eastAsia="Times New Roman" w:hAnsi="Times New Roman" w:cs="Times New Roman"/>
          <w:sz w:val="24"/>
          <w:szCs w:val="24"/>
          <w:lang w:eastAsia="tr-TR"/>
        </w:rPr>
        <w:t xml:space="preserve">. </w:t>
      </w:r>
      <w:r w:rsidR="00086888" w:rsidRPr="006731CB">
        <w:rPr>
          <w:rFonts w:ascii="Times New Roman" w:eastAsia="Times New Roman" w:hAnsi="Times New Roman" w:cs="Times New Roman"/>
          <w:sz w:val="24"/>
          <w:szCs w:val="24"/>
          <w:lang w:eastAsia="tr-TR"/>
        </w:rPr>
        <w:t>Enerji tüketiminde tasarruf sağlanması</w:t>
      </w:r>
      <w:r w:rsidR="00086888" w:rsidRPr="006731CB">
        <w:rPr>
          <w:rFonts w:ascii="Times New Roman" w:eastAsia="Calibri" w:hAnsi="Times New Roman" w:cs="Times New Roman"/>
          <w:sz w:val="24"/>
          <w:szCs w:val="24"/>
        </w:rPr>
        <w:t>,</w:t>
      </w:r>
      <w:r w:rsidR="00086888" w:rsidRPr="006731CB">
        <w:rPr>
          <w:rFonts w:ascii="Times New Roman" w:eastAsia="Times New Roman" w:hAnsi="Times New Roman" w:cs="Times New Roman"/>
          <w:sz w:val="24"/>
          <w:szCs w:val="24"/>
          <w:lang w:eastAsia="tr-TR"/>
        </w:rPr>
        <w:t xml:space="preserve"> </w:t>
      </w:r>
      <w:r w:rsidR="00086888" w:rsidRPr="006731CB">
        <w:rPr>
          <w:rFonts w:ascii="Times New Roman" w:eastAsia="Calibri" w:hAnsi="Times New Roman" w:cs="Times New Roman"/>
          <w:sz w:val="24"/>
          <w:szCs w:val="24"/>
        </w:rPr>
        <w:t>iklim değişikliği ve çevre kirliliği ile mücadele edilmesine</w:t>
      </w:r>
      <w:r w:rsidR="00086888" w:rsidRPr="006731CB">
        <w:rPr>
          <w:rFonts w:ascii="Times New Roman" w:eastAsia="Times New Roman" w:hAnsi="Times New Roman" w:cs="Times New Roman"/>
          <w:sz w:val="24"/>
          <w:szCs w:val="24"/>
          <w:lang w:eastAsia="tr-TR"/>
        </w:rPr>
        <w:t xml:space="preserve"> yönelik vergi politikaları </w:t>
      </w:r>
      <w:r w:rsidR="00086888" w:rsidRPr="006731CB">
        <w:rPr>
          <w:rFonts w:ascii="Times New Roman" w:eastAsia="Calibri" w:hAnsi="Times New Roman" w:cs="Times New Roman"/>
          <w:sz w:val="24"/>
          <w:szCs w:val="24"/>
        </w:rPr>
        <w:t>çalışmalarına</w:t>
      </w:r>
      <w:r w:rsidR="00086888" w:rsidRPr="006731CB">
        <w:rPr>
          <w:rFonts w:ascii="Times New Roman" w:eastAsia="Times New Roman" w:hAnsi="Times New Roman" w:cs="Times New Roman"/>
          <w:sz w:val="24"/>
          <w:szCs w:val="24"/>
          <w:lang w:eastAsia="tr-TR"/>
        </w:rPr>
        <w:t xml:space="preserve"> devam edilecek</w:t>
      </w:r>
      <w:r w:rsidR="00AA33CC" w:rsidRPr="006731CB">
        <w:rPr>
          <w:rFonts w:ascii="Times New Roman" w:eastAsia="Times New Roman" w:hAnsi="Times New Roman" w:cs="Times New Roman"/>
          <w:sz w:val="24"/>
          <w:szCs w:val="24"/>
          <w:lang w:eastAsia="tr-TR"/>
        </w:rPr>
        <w:t>tir.</w:t>
      </w:r>
      <w:r w:rsidR="0066470C" w:rsidRPr="006731CB">
        <w:rPr>
          <w:rFonts w:ascii="Times New Roman" w:eastAsia="Times New Roman" w:hAnsi="Times New Roman" w:cs="Times New Roman"/>
          <w:sz w:val="24"/>
          <w:szCs w:val="24"/>
          <w:lang w:eastAsia="tr-TR"/>
        </w:rPr>
        <w:t xml:space="preserve"> </w:t>
      </w:r>
    </w:p>
    <w:p w:rsidR="00B07A2C" w:rsidRPr="006731CB" w:rsidRDefault="003F7DA1" w:rsidP="00AA33CC">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3</w:t>
      </w:r>
      <w:r w:rsidR="00D61DB7">
        <w:rPr>
          <w:rFonts w:ascii="Times New Roman" w:eastAsia="Times New Roman" w:hAnsi="Times New Roman" w:cs="Times New Roman"/>
          <w:sz w:val="24"/>
          <w:szCs w:val="24"/>
          <w:lang w:eastAsia="tr-TR"/>
        </w:rPr>
        <w:t>8</w:t>
      </w:r>
      <w:r w:rsidRPr="006731CB">
        <w:rPr>
          <w:rFonts w:ascii="Times New Roman" w:eastAsia="Times New Roman" w:hAnsi="Times New Roman" w:cs="Times New Roman"/>
          <w:sz w:val="24"/>
          <w:szCs w:val="24"/>
          <w:lang w:eastAsia="tr-TR"/>
        </w:rPr>
        <w:t>.</w:t>
      </w:r>
      <w:r w:rsidR="00AA33CC" w:rsidRPr="006731CB">
        <w:rPr>
          <w:rFonts w:ascii="Times New Roman" w:eastAsia="Times New Roman" w:hAnsi="Times New Roman" w:cs="Times New Roman"/>
          <w:sz w:val="24"/>
          <w:szCs w:val="24"/>
          <w:lang w:eastAsia="tr-TR"/>
        </w:rPr>
        <w:t xml:space="preserve"> İstisna, muafiyet ve indirimler nedeniyle oluşan vergi harcamalarının mali etkilerinin analiz edilmesi ve sonuca göre gerekli düzenlemelerin yapılması ile vergi harcamaları konusunda kamuoyunun bilgilendirilmesi çalışmaları sürdürülecektir. </w:t>
      </w:r>
    </w:p>
    <w:p w:rsidR="00087FFC" w:rsidRPr="006731CB" w:rsidRDefault="003F7DA1" w:rsidP="00AA33CC">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3</w:t>
      </w:r>
      <w:r w:rsidR="00D61DB7">
        <w:rPr>
          <w:rFonts w:ascii="Times New Roman" w:eastAsia="Times New Roman" w:hAnsi="Times New Roman" w:cs="Times New Roman"/>
          <w:sz w:val="24"/>
          <w:szCs w:val="24"/>
          <w:lang w:eastAsia="tr-TR"/>
        </w:rPr>
        <w:t>9</w:t>
      </w:r>
      <w:r w:rsidRPr="006731CB">
        <w:rPr>
          <w:rFonts w:ascii="Times New Roman" w:eastAsia="Times New Roman" w:hAnsi="Times New Roman" w:cs="Times New Roman"/>
          <w:sz w:val="24"/>
          <w:szCs w:val="24"/>
          <w:lang w:eastAsia="tr-TR"/>
        </w:rPr>
        <w:t xml:space="preserve">. </w:t>
      </w:r>
      <w:r w:rsidR="00AA33CC" w:rsidRPr="006731CB">
        <w:rPr>
          <w:rFonts w:ascii="Times New Roman" w:eastAsia="Times New Roman" w:hAnsi="Times New Roman" w:cs="Times New Roman"/>
          <w:sz w:val="24"/>
          <w:szCs w:val="24"/>
          <w:lang w:eastAsia="tr-TR"/>
        </w:rPr>
        <w:t>Haksız rekabetin önlenmesi, kaynak dağılımında etkinliğin sağlanması, ekonomide rekabet gücünün ve kamu gelirlerinin artırılması amacıyla kayıt dışılıkla mücadeleye kararlılıkla devam edilecektir. Bu kapsamda</w:t>
      </w:r>
      <w:r w:rsidR="00B47FA8" w:rsidRPr="006731CB">
        <w:rPr>
          <w:rFonts w:ascii="Times New Roman" w:eastAsia="Times New Roman" w:hAnsi="Times New Roman" w:cs="Times New Roman"/>
          <w:sz w:val="24"/>
          <w:szCs w:val="24"/>
          <w:lang w:eastAsia="tr-TR"/>
        </w:rPr>
        <w:t>,</w:t>
      </w:r>
      <w:r w:rsidR="00AA33CC" w:rsidRPr="006731CB">
        <w:rPr>
          <w:rFonts w:ascii="Times New Roman" w:eastAsia="Times New Roman" w:hAnsi="Times New Roman" w:cs="Times New Roman"/>
          <w:sz w:val="24"/>
          <w:szCs w:val="24"/>
          <w:lang w:eastAsia="tr-TR"/>
        </w:rPr>
        <w:t xml:space="preserve"> vergi tabanını genişletici vergi politikalarının geliştirilmesi</w:t>
      </w:r>
      <w:r w:rsidR="002C3563" w:rsidRPr="006731CB">
        <w:rPr>
          <w:rFonts w:ascii="Times New Roman" w:eastAsia="Times New Roman" w:hAnsi="Times New Roman" w:cs="Times New Roman"/>
          <w:sz w:val="24"/>
          <w:szCs w:val="24"/>
          <w:lang w:eastAsia="tr-TR"/>
        </w:rPr>
        <w:t>ne</w:t>
      </w:r>
      <w:r w:rsidR="00AA33CC" w:rsidRPr="006731CB">
        <w:rPr>
          <w:rFonts w:ascii="Times New Roman" w:eastAsia="Times New Roman" w:hAnsi="Times New Roman" w:cs="Times New Roman"/>
          <w:sz w:val="24"/>
          <w:szCs w:val="24"/>
          <w:lang w:eastAsia="tr-TR"/>
        </w:rPr>
        <w:t xml:space="preserve">, kurumlar arası işbirliği ve veri paylaşımının </w:t>
      </w:r>
      <w:r w:rsidR="002C3563" w:rsidRPr="006731CB">
        <w:rPr>
          <w:rFonts w:ascii="Times New Roman" w:eastAsia="Times New Roman" w:hAnsi="Times New Roman" w:cs="Times New Roman"/>
          <w:sz w:val="24"/>
          <w:szCs w:val="24"/>
          <w:lang w:eastAsia="tr-TR"/>
        </w:rPr>
        <w:t xml:space="preserve">artırılmasına, </w:t>
      </w:r>
      <w:r w:rsidR="00AA33CC" w:rsidRPr="006731CB">
        <w:rPr>
          <w:rFonts w:ascii="Times New Roman" w:eastAsia="Times New Roman" w:hAnsi="Times New Roman" w:cs="Times New Roman"/>
          <w:sz w:val="24"/>
          <w:szCs w:val="24"/>
          <w:lang w:eastAsia="tr-TR"/>
        </w:rPr>
        <w:t xml:space="preserve">kayıt dışılıkla mücadeleye toplumun tüm kesimlerinin katılımının sağlanmasına yönelik çalışmalar sürdürülecektir. </w:t>
      </w:r>
    </w:p>
    <w:p w:rsidR="007B2A0B" w:rsidRPr="006731CB" w:rsidRDefault="00D61DB7" w:rsidP="00AA33CC">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r w:rsidR="003F7DA1" w:rsidRPr="006731CB">
        <w:rPr>
          <w:rFonts w:ascii="Times New Roman" w:eastAsia="Times New Roman" w:hAnsi="Times New Roman" w:cs="Times New Roman"/>
          <w:sz w:val="24"/>
          <w:szCs w:val="24"/>
          <w:lang w:eastAsia="tr-TR"/>
        </w:rPr>
        <w:t xml:space="preserve">. </w:t>
      </w:r>
      <w:r w:rsidR="007B2A0B" w:rsidRPr="006731CB">
        <w:rPr>
          <w:rFonts w:ascii="Times New Roman" w:eastAsia="Times New Roman" w:hAnsi="Times New Roman" w:cs="Times New Roman"/>
          <w:sz w:val="24"/>
          <w:szCs w:val="24"/>
          <w:lang w:eastAsia="tr-TR"/>
        </w:rPr>
        <w:t xml:space="preserve">Kayıtlı ekonomiye geçişin sağlanması amacıyla; kayıt dışı ekonominin boyutunun ölçülmesi ve etkilerinin analizi, vergiye gönüllü uyumun artırılması, mevzuattaki boşlukların giderilmesi, denetim kapasitesinin güçlendirilmesi, farkındalığın artırılması </w:t>
      </w:r>
      <w:r w:rsidR="003027F9" w:rsidRPr="006731CB">
        <w:rPr>
          <w:rFonts w:ascii="Times New Roman" w:eastAsia="Times New Roman" w:hAnsi="Times New Roman" w:cs="Times New Roman"/>
          <w:sz w:val="24"/>
          <w:szCs w:val="24"/>
          <w:lang w:eastAsia="tr-TR"/>
        </w:rPr>
        <w:t>ile</w:t>
      </w:r>
      <w:r w:rsidR="007B2A0B" w:rsidRPr="006731CB">
        <w:rPr>
          <w:rFonts w:ascii="Times New Roman" w:eastAsia="Times New Roman" w:hAnsi="Times New Roman" w:cs="Times New Roman"/>
          <w:sz w:val="24"/>
          <w:szCs w:val="24"/>
          <w:lang w:eastAsia="tr-TR"/>
        </w:rPr>
        <w:t xml:space="preserve"> veri paylaşım ve analiz kapasitesinin geliştirilmesi </w:t>
      </w:r>
      <w:r w:rsidR="00C01689" w:rsidRPr="006731CB">
        <w:rPr>
          <w:rFonts w:ascii="Times New Roman" w:eastAsia="Times New Roman" w:hAnsi="Times New Roman" w:cs="Times New Roman"/>
          <w:sz w:val="24"/>
          <w:szCs w:val="24"/>
          <w:lang w:eastAsia="tr-TR"/>
        </w:rPr>
        <w:t xml:space="preserve">politikalarını </w:t>
      </w:r>
      <w:r w:rsidR="0066577B" w:rsidRPr="006731CB">
        <w:rPr>
          <w:rFonts w:ascii="Times New Roman" w:eastAsia="Times New Roman" w:hAnsi="Times New Roman" w:cs="Times New Roman"/>
          <w:sz w:val="24"/>
          <w:szCs w:val="24"/>
          <w:lang w:eastAsia="tr-TR"/>
        </w:rPr>
        <w:t>içeren</w:t>
      </w:r>
      <w:r w:rsidR="00C01689" w:rsidRPr="006731CB">
        <w:rPr>
          <w:rFonts w:ascii="Times New Roman" w:eastAsia="Times New Roman" w:hAnsi="Times New Roman" w:cs="Times New Roman"/>
          <w:sz w:val="24"/>
          <w:szCs w:val="24"/>
          <w:lang w:eastAsia="tr-TR"/>
        </w:rPr>
        <w:t xml:space="preserve"> </w:t>
      </w:r>
      <w:r w:rsidR="007B2A0B" w:rsidRPr="006731CB">
        <w:rPr>
          <w:rFonts w:ascii="Times New Roman" w:eastAsia="Times New Roman" w:hAnsi="Times New Roman" w:cs="Times New Roman"/>
          <w:sz w:val="24"/>
          <w:szCs w:val="24"/>
          <w:lang w:eastAsia="tr-TR"/>
        </w:rPr>
        <w:t xml:space="preserve">Kayıt </w:t>
      </w:r>
      <w:r w:rsidR="008F0A13" w:rsidRPr="006731CB">
        <w:rPr>
          <w:rFonts w:ascii="Times New Roman" w:eastAsia="Times New Roman" w:hAnsi="Times New Roman" w:cs="Times New Roman"/>
          <w:sz w:val="24"/>
          <w:szCs w:val="24"/>
          <w:lang w:eastAsia="tr-TR"/>
        </w:rPr>
        <w:t xml:space="preserve">Dışı </w:t>
      </w:r>
      <w:r w:rsidR="007B2A0B" w:rsidRPr="006731CB">
        <w:rPr>
          <w:rFonts w:ascii="Times New Roman" w:eastAsia="Times New Roman" w:hAnsi="Times New Roman" w:cs="Times New Roman"/>
          <w:sz w:val="24"/>
          <w:szCs w:val="24"/>
          <w:lang w:eastAsia="tr-TR"/>
        </w:rPr>
        <w:t>Eylem Planı hazırlık çalışmaları</w:t>
      </w:r>
      <w:r w:rsidR="0087525D" w:rsidRPr="006731CB">
        <w:rPr>
          <w:rFonts w:ascii="Times New Roman" w:eastAsia="Times New Roman" w:hAnsi="Times New Roman" w:cs="Times New Roman"/>
          <w:sz w:val="24"/>
          <w:szCs w:val="24"/>
          <w:lang w:eastAsia="tr-TR"/>
        </w:rPr>
        <w:t>na devam edilecektir.</w:t>
      </w:r>
    </w:p>
    <w:p w:rsidR="00AA33CC" w:rsidRPr="006731CB" w:rsidRDefault="00D61DB7" w:rsidP="00AA33CC">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41</w:t>
      </w:r>
      <w:r w:rsidR="003F7DA1" w:rsidRPr="006731CB">
        <w:rPr>
          <w:rFonts w:ascii="Times New Roman" w:eastAsia="Times New Roman" w:hAnsi="Times New Roman" w:cs="Times New Roman"/>
          <w:sz w:val="24"/>
          <w:szCs w:val="24"/>
          <w:lang w:eastAsia="tr-TR"/>
        </w:rPr>
        <w:t xml:space="preserve">. </w:t>
      </w:r>
      <w:r w:rsidR="00AA33CC" w:rsidRPr="006731CB">
        <w:rPr>
          <w:rFonts w:ascii="Times New Roman" w:eastAsia="Times New Roman" w:hAnsi="Times New Roman" w:cs="Times New Roman"/>
          <w:sz w:val="24"/>
          <w:szCs w:val="24"/>
          <w:lang w:eastAsia="tr-TR"/>
        </w:rPr>
        <w:t>İşgücü piyasasında</w:t>
      </w:r>
      <w:r w:rsidR="00455F5D" w:rsidRPr="006731CB">
        <w:rPr>
          <w:rFonts w:ascii="Times New Roman" w:eastAsia="Times New Roman" w:hAnsi="Times New Roman" w:cs="Times New Roman"/>
          <w:sz w:val="24"/>
          <w:szCs w:val="24"/>
          <w:lang w:eastAsia="tr-TR"/>
        </w:rPr>
        <w:t>,</w:t>
      </w:r>
      <w:r w:rsidR="00AA33CC" w:rsidRPr="006731CB">
        <w:rPr>
          <w:rFonts w:ascii="Times New Roman" w:eastAsia="Times New Roman" w:hAnsi="Times New Roman" w:cs="Times New Roman"/>
          <w:sz w:val="24"/>
          <w:szCs w:val="24"/>
          <w:lang w:eastAsia="tr-TR"/>
        </w:rPr>
        <w:t xml:space="preserve"> işletmelerin ilave istihdam </w:t>
      </w:r>
      <w:r w:rsidR="00B001C5" w:rsidRPr="006731CB">
        <w:rPr>
          <w:rFonts w:ascii="Times New Roman" w:eastAsia="Times New Roman" w:hAnsi="Times New Roman" w:cs="Times New Roman"/>
          <w:sz w:val="24"/>
          <w:szCs w:val="24"/>
          <w:lang w:eastAsia="tr-TR"/>
        </w:rPr>
        <w:t xml:space="preserve">meydana getirmesi </w:t>
      </w:r>
      <w:r w:rsidR="00AA33CC" w:rsidRPr="006731CB">
        <w:rPr>
          <w:rFonts w:ascii="Times New Roman" w:eastAsia="Times New Roman" w:hAnsi="Times New Roman" w:cs="Times New Roman"/>
          <w:sz w:val="24"/>
          <w:szCs w:val="24"/>
          <w:lang w:eastAsia="tr-TR"/>
        </w:rPr>
        <w:t xml:space="preserve">ve kayıt dışı istihdamın engellenmesi için gerekli vergisel düzenlemeler yapılmaya devam edilecektir. </w:t>
      </w:r>
    </w:p>
    <w:p w:rsidR="00087FFC" w:rsidRPr="006731CB" w:rsidRDefault="008E2424" w:rsidP="00B001C5">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lastRenderedPageBreak/>
        <w:t>4</w:t>
      </w:r>
      <w:r w:rsidR="00D61DB7">
        <w:rPr>
          <w:rFonts w:ascii="Times New Roman" w:eastAsia="Times New Roman" w:hAnsi="Times New Roman" w:cs="Times New Roman"/>
          <w:sz w:val="24"/>
          <w:szCs w:val="24"/>
          <w:lang w:eastAsia="tr-TR"/>
        </w:rPr>
        <w:t>2</w:t>
      </w:r>
      <w:r w:rsidR="003F7DA1" w:rsidRPr="006731CB">
        <w:rPr>
          <w:rFonts w:ascii="Times New Roman" w:eastAsia="Times New Roman" w:hAnsi="Times New Roman" w:cs="Times New Roman"/>
          <w:sz w:val="24"/>
          <w:szCs w:val="24"/>
          <w:lang w:eastAsia="tr-TR"/>
        </w:rPr>
        <w:t xml:space="preserve">. </w:t>
      </w:r>
      <w:r w:rsidR="00B001C5" w:rsidRPr="006731CB">
        <w:rPr>
          <w:rFonts w:ascii="Times New Roman" w:eastAsia="Times New Roman" w:hAnsi="Times New Roman" w:cs="Times New Roman"/>
          <w:sz w:val="24"/>
          <w:szCs w:val="24"/>
          <w:lang w:eastAsia="tr-TR"/>
        </w:rPr>
        <w:t>İmalat sanayinin verimliliğinin ve rekabet gücünün artırılarak dünya ticaretinden daha fazla pay alabilmesine yönelik vergi politikaları geliştirilecektir</w:t>
      </w:r>
      <w:r w:rsidR="00087FFC" w:rsidRPr="006731CB">
        <w:rPr>
          <w:rFonts w:ascii="Times New Roman" w:eastAsia="Times New Roman" w:hAnsi="Times New Roman" w:cs="Times New Roman"/>
          <w:sz w:val="24"/>
          <w:szCs w:val="24"/>
          <w:lang w:eastAsia="tr-TR"/>
        </w:rPr>
        <w:t xml:space="preserve">. </w:t>
      </w:r>
    </w:p>
    <w:p w:rsidR="00B001C5" w:rsidRPr="006731CB" w:rsidRDefault="003F7DA1" w:rsidP="00B001C5">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4</w:t>
      </w:r>
      <w:r w:rsidR="00D61DB7">
        <w:rPr>
          <w:rFonts w:ascii="Times New Roman" w:eastAsia="Times New Roman" w:hAnsi="Times New Roman" w:cs="Times New Roman"/>
          <w:sz w:val="24"/>
          <w:szCs w:val="24"/>
          <w:lang w:eastAsia="tr-TR"/>
        </w:rPr>
        <w:t>3</w:t>
      </w:r>
      <w:r w:rsidRPr="006731CB">
        <w:rPr>
          <w:rFonts w:ascii="Times New Roman" w:eastAsia="Times New Roman" w:hAnsi="Times New Roman" w:cs="Times New Roman"/>
          <w:sz w:val="24"/>
          <w:szCs w:val="24"/>
          <w:lang w:eastAsia="tr-TR"/>
        </w:rPr>
        <w:t xml:space="preserve">. </w:t>
      </w:r>
      <w:r w:rsidR="00B001C5" w:rsidRPr="006731CB">
        <w:rPr>
          <w:rFonts w:ascii="Times New Roman" w:eastAsia="Times New Roman" w:hAnsi="Times New Roman" w:cs="Times New Roman"/>
          <w:sz w:val="24"/>
          <w:szCs w:val="24"/>
          <w:lang w:eastAsia="tr-TR"/>
        </w:rPr>
        <w:t>İstanbul Uluslararası Finans Merkezi Programı kapsamında, ülkemizin finansal piyasalarda rekabet gücünü artırarak</w:t>
      </w:r>
      <w:r w:rsidR="002C3563" w:rsidRPr="006731CB">
        <w:rPr>
          <w:rFonts w:ascii="Times New Roman" w:eastAsia="Times New Roman" w:hAnsi="Times New Roman" w:cs="Times New Roman"/>
          <w:sz w:val="24"/>
          <w:szCs w:val="24"/>
          <w:lang w:eastAsia="tr-TR"/>
        </w:rPr>
        <w:t xml:space="preserve"> </w:t>
      </w:r>
      <w:r w:rsidR="00B001C5" w:rsidRPr="006731CB">
        <w:rPr>
          <w:rFonts w:ascii="Times New Roman" w:eastAsia="Times New Roman" w:hAnsi="Times New Roman" w:cs="Times New Roman"/>
          <w:sz w:val="24"/>
          <w:szCs w:val="24"/>
          <w:lang w:eastAsia="tr-TR"/>
        </w:rPr>
        <w:t>daha fazla finansal işlemin ülkemizde yapılması</w:t>
      </w:r>
      <w:r w:rsidR="003E78E6" w:rsidRPr="006731CB">
        <w:rPr>
          <w:rFonts w:ascii="Times New Roman" w:eastAsia="Times New Roman" w:hAnsi="Times New Roman" w:cs="Times New Roman"/>
          <w:sz w:val="24"/>
          <w:szCs w:val="24"/>
          <w:lang w:eastAsia="tr-TR"/>
        </w:rPr>
        <w:t>nı</w:t>
      </w:r>
      <w:r w:rsidR="00B001C5" w:rsidRPr="006731CB">
        <w:rPr>
          <w:rFonts w:ascii="Times New Roman" w:eastAsia="Times New Roman" w:hAnsi="Times New Roman" w:cs="Times New Roman"/>
          <w:sz w:val="24"/>
          <w:szCs w:val="24"/>
          <w:lang w:eastAsia="tr-TR"/>
        </w:rPr>
        <w:t xml:space="preserve"> sağla</w:t>
      </w:r>
      <w:r w:rsidR="0079438E" w:rsidRPr="006731CB">
        <w:rPr>
          <w:rFonts w:ascii="Times New Roman" w:eastAsia="Calibri" w:hAnsi="Times New Roman" w:cs="Times New Roman"/>
          <w:sz w:val="24"/>
          <w:szCs w:val="24"/>
        </w:rPr>
        <w:t>y</w:t>
      </w:r>
      <w:r w:rsidR="00B001C5" w:rsidRPr="006731CB">
        <w:rPr>
          <w:rFonts w:ascii="Times New Roman" w:eastAsia="Calibri" w:hAnsi="Times New Roman" w:cs="Times New Roman"/>
          <w:sz w:val="24"/>
          <w:szCs w:val="24"/>
        </w:rPr>
        <w:t>acak,</w:t>
      </w:r>
      <w:r w:rsidR="00B001C5" w:rsidRPr="006731CB">
        <w:rPr>
          <w:rFonts w:ascii="Times New Roman" w:eastAsia="Times New Roman" w:hAnsi="Times New Roman" w:cs="Times New Roman"/>
          <w:sz w:val="24"/>
          <w:szCs w:val="24"/>
          <w:lang w:eastAsia="tr-TR"/>
        </w:rPr>
        <w:t xml:space="preserve"> yatırımcılar ve finansal kurumlar için belirsizliği gider</w:t>
      </w:r>
      <w:r w:rsidR="00B001C5" w:rsidRPr="006731CB">
        <w:rPr>
          <w:rFonts w:ascii="Times New Roman" w:eastAsia="Calibri" w:hAnsi="Times New Roman" w:cs="Times New Roman"/>
          <w:sz w:val="24"/>
          <w:szCs w:val="24"/>
        </w:rPr>
        <w:t>ecek</w:t>
      </w:r>
      <w:r w:rsidR="00B001C5" w:rsidRPr="006731CB">
        <w:rPr>
          <w:rFonts w:ascii="Times New Roman" w:eastAsia="Times New Roman" w:hAnsi="Times New Roman" w:cs="Times New Roman"/>
          <w:sz w:val="24"/>
          <w:szCs w:val="24"/>
          <w:lang w:eastAsia="tr-TR"/>
        </w:rPr>
        <w:t xml:space="preserve"> </w:t>
      </w:r>
      <w:r w:rsidR="00B001C5" w:rsidRPr="006731CB">
        <w:rPr>
          <w:rFonts w:ascii="Times New Roman" w:eastAsia="Calibri" w:hAnsi="Times New Roman" w:cs="Times New Roman"/>
          <w:sz w:val="24"/>
          <w:szCs w:val="24"/>
        </w:rPr>
        <w:t>vergisel düzenlemelere devam edilecektir.</w:t>
      </w:r>
      <w:r w:rsidR="00B001C5" w:rsidRPr="006731CB">
        <w:rPr>
          <w:rFonts w:ascii="Times New Roman" w:eastAsia="Times New Roman" w:hAnsi="Times New Roman" w:cs="Times New Roman"/>
          <w:sz w:val="24"/>
          <w:szCs w:val="24"/>
          <w:lang w:eastAsia="tr-TR"/>
        </w:rPr>
        <w:t xml:space="preserve"> </w:t>
      </w:r>
    </w:p>
    <w:p w:rsidR="003E78E6" w:rsidRPr="006731CB" w:rsidRDefault="003F7DA1" w:rsidP="003E78E6">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4</w:t>
      </w:r>
      <w:r w:rsidR="00D61DB7">
        <w:rPr>
          <w:rFonts w:ascii="Times New Roman" w:eastAsia="Times New Roman" w:hAnsi="Times New Roman" w:cs="Times New Roman"/>
          <w:sz w:val="24"/>
          <w:szCs w:val="24"/>
          <w:lang w:eastAsia="tr-TR"/>
        </w:rPr>
        <w:t>4</w:t>
      </w:r>
      <w:r w:rsidRPr="006731CB">
        <w:rPr>
          <w:rFonts w:ascii="Times New Roman" w:eastAsia="Times New Roman" w:hAnsi="Times New Roman" w:cs="Times New Roman"/>
          <w:sz w:val="24"/>
          <w:szCs w:val="24"/>
          <w:lang w:eastAsia="tr-TR"/>
        </w:rPr>
        <w:t xml:space="preserve">. </w:t>
      </w:r>
      <w:r w:rsidR="003E78E6" w:rsidRPr="006731CB">
        <w:rPr>
          <w:rFonts w:ascii="Times New Roman" w:eastAsia="Times New Roman" w:hAnsi="Times New Roman" w:cs="Times New Roman"/>
          <w:sz w:val="24"/>
          <w:szCs w:val="24"/>
          <w:lang w:eastAsia="tr-TR"/>
        </w:rPr>
        <w:t>Farklı finans kuruluşları ve sermaye piyasası araçları arasındaki rekabet eşitliğini bozan vergisel düzenlemeler tespit edilerek gerekli düzenlemeler yapılmaya devam edilecek, faizsiz finans ürünlerinin kullanılmasının yaygınlaştırılması ve daha cazip hale getirilmesi için çalışmalar yürütülecektir.</w:t>
      </w:r>
      <w:r w:rsidR="00087FFC" w:rsidRPr="006731CB">
        <w:rPr>
          <w:rFonts w:ascii="Times New Roman" w:eastAsia="Times New Roman" w:hAnsi="Times New Roman" w:cs="Times New Roman"/>
          <w:sz w:val="24"/>
          <w:szCs w:val="24"/>
          <w:lang w:eastAsia="tr-TR"/>
        </w:rPr>
        <w:t xml:space="preserve"> </w:t>
      </w:r>
    </w:p>
    <w:p w:rsidR="003E78E6" w:rsidRPr="006731CB" w:rsidRDefault="003F7DA1" w:rsidP="003E78E6">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4</w:t>
      </w:r>
      <w:r w:rsidR="00D61DB7">
        <w:rPr>
          <w:rFonts w:ascii="Times New Roman" w:eastAsia="Times New Roman" w:hAnsi="Times New Roman" w:cs="Times New Roman"/>
          <w:sz w:val="24"/>
          <w:szCs w:val="24"/>
          <w:lang w:eastAsia="tr-TR"/>
        </w:rPr>
        <w:t>5</w:t>
      </w:r>
      <w:r w:rsidRPr="006731CB">
        <w:rPr>
          <w:rFonts w:ascii="Times New Roman" w:eastAsia="Times New Roman" w:hAnsi="Times New Roman" w:cs="Times New Roman"/>
          <w:sz w:val="24"/>
          <w:szCs w:val="24"/>
          <w:lang w:eastAsia="tr-TR"/>
        </w:rPr>
        <w:t xml:space="preserve">. </w:t>
      </w:r>
      <w:r w:rsidR="003E78E6" w:rsidRPr="006731CB">
        <w:rPr>
          <w:rFonts w:ascii="Times New Roman" w:eastAsia="Times New Roman" w:hAnsi="Times New Roman" w:cs="Times New Roman"/>
          <w:sz w:val="24"/>
          <w:szCs w:val="24"/>
          <w:lang w:eastAsia="tr-TR"/>
        </w:rPr>
        <w:t>Kamu gelirlerinin kalitesinin artırılması kapsamında yerel yönetim öz gelirlerinin artırılması ve bu gelirlerin genel vergi sistemi ile uyumunu sağlayacak mevzuat düzenlemelerinin yapılması çalışmaları</w:t>
      </w:r>
      <w:r w:rsidR="007E0C77" w:rsidRPr="006731CB">
        <w:rPr>
          <w:rFonts w:ascii="Times New Roman" w:eastAsia="Times New Roman" w:hAnsi="Times New Roman" w:cs="Times New Roman"/>
          <w:sz w:val="24"/>
          <w:szCs w:val="24"/>
          <w:lang w:eastAsia="tr-TR"/>
        </w:rPr>
        <w:t xml:space="preserve"> sürdürülecektir.</w:t>
      </w:r>
      <w:r w:rsidR="003E78E6" w:rsidRPr="006731CB">
        <w:rPr>
          <w:rFonts w:ascii="Times New Roman" w:eastAsia="Times New Roman" w:hAnsi="Times New Roman" w:cs="Times New Roman"/>
          <w:sz w:val="24"/>
          <w:szCs w:val="24"/>
          <w:lang w:eastAsia="tr-TR"/>
        </w:rPr>
        <w:t xml:space="preserve"> </w:t>
      </w:r>
    </w:p>
    <w:p w:rsidR="00233288" w:rsidRPr="006731CB" w:rsidRDefault="003F7DA1" w:rsidP="003E78E6">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4</w:t>
      </w:r>
      <w:r w:rsidR="00D61DB7">
        <w:rPr>
          <w:rFonts w:ascii="Times New Roman" w:eastAsia="Times New Roman" w:hAnsi="Times New Roman" w:cs="Times New Roman"/>
          <w:sz w:val="24"/>
          <w:szCs w:val="24"/>
          <w:lang w:eastAsia="tr-TR"/>
        </w:rPr>
        <w:t>6</w:t>
      </w:r>
      <w:r w:rsidRPr="006731CB">
        <w:rPr>
          <w:rFonts w:ascii="Times New Roman" w:eastAsia="Times New Roman" w:hAnsi="Times New Roman" w:cs="Times New Roman"/>
          <w:sz w:val="24"/>
          <w:szCs w:val="24"/>
          <w:lang w:eastAsia="tr-TR"/>
        </w:rPr>
        <w:t xml:space="preserve">. </w:t>
      </w:r>
      <w:r w:rsidR="00233288" w:rsidRPr="006731CB">
        <w:rPr>
          <w:rFonts w:ascii="Times New Roman" w:eastAsia="Times New Roman" w:hAnsi="Times New Roman" w:cs="Times New Roman"/>
          <w:sz w:val="24"/>
          <w:szCs w:val="24"/>
          <w:lang w:eastAsia="tr-TR"/>
        </w:rPr>
        <w:t>Mükellef hizmetlerinin geliştirilmesine yönelik çalışmalara devam edilecektir.</w:t>
      </w:r>
    </w:p>
    <w:p w:rsidR="003E78E6" w:rsidRPr="006731CB" w:rsidRDefault="003F7DA1" w:rsidP="003E78E6">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4</w:t>
      </w:r>
      <w:r w:rsidR="00D61DB7">
        <w:rPr>
          <w:rFonts w:ascii="Times New Roman" w:eastAsia="Times New Roman" w:hAnsi="Times New Roman" w:cs="Times New Roman"/>
          <w:sz w:val="24"/>
          <w:szCs w:val="24"/>
          <w:lang w:eastAsia="tr-TR"/>
        </w:rPr>
        <w:t>7</w:t>
      </w:r>
      <w:r w:rsidRPr="006731CB">
        <w:rPr>
          <w:rFonts w:ascii="Times New Roman" w:eastAsia="Times New Roman" w:hAnsi="Times New Roman" w:cs="Times New Roman"/>
          <w:sz w:val="24"/>
          <w:szCs w:val="24"/>
          <w:lang w:eastAsia="tr-TR"/>
        </w:rPr>
        <w:t xml:space="preserve">. </w:t>
      </w:r>
      <w:r w:rsidR="003E78E6" w:rsidRPr="006731CB">
        <w:rPr>
          <w:rFonts w:ascii="Times New Roman" w:eastAsia="Times New Roman" w:hAnsi="Times New Roman" w:cs="Times New Roman"/>
          <w:sz w:val="24"/>
          <w:szCs w:val="24"/>
          <w:lang w:eastAsia="tr-TR"/>
        </w:rPr>
        <w:t xml:space="preserve">Avrupa Birliğine katılım sürecinde müktesebata uyum çalışmalarına devam edilecektir. </w:t>
      </w:r>
    </w:p>
    <w:p w:rsidR="002D5A7B" w:rsidRDefault="003F7DA1" w:rsidP="00D416B1">
      <w:pPr>
        <w:spacing w:after="120"/>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w:t>
      </w:r>
      <w:r w:rsidR="002D5A7B" w:rsidRPr="00932F51">
        <w:rPr>
          <w:rFonts w:ascii="Times New Roman" w:eastAsia="Times New Roman" w:hAnsi="Times New Roman" w:cs="Times New Roman"/>
          <w:b/>
          <w:sz w:val="24"/>
          <w:szCs w:val="24"/>
          <w:lang w:eastAsia="tr-TR"/>
        </w:rPr>
        <w:t>I. MERKEZİ YÖNETİM BÜTÇE BÜYÜKLÜKLERİ</w:t>
      </w:r>
    </w:p>
    <w:p w:rsidR="002D5A7B" w:rsidRDefault="002D5A7B" w:rsidP="00B26F10">
      <w:pPr>
        <w:spacing w:after="120"/>
        <w:ind w:left="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Dengesi</w:t>
      </w:r>
    </w:p>
    <w:p w:rsidR="002D5A7B" w:rsidRDefault="003F7DA1"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D61DB7">
        <w:rPr>
          <w:rFonts w:ascii="Times New Roman" w:eastAsia="Times New Roman" w:hAnsi="Times New Roman" w:cs="Times New Roman"/>
          <w:sz w:val="24"/>
          <w:szCs w:val="24"/>
          <w:lang w:eastAsia="tr-TR"/>
        </w:rPr>
        <w:t>8</w:t>
      </w:r>
      <w:r>
        <w:rPr>
          <w:rFonts w:ascii="Times New Roman" w:eastAsia="Times New Roman" w:hAnsi="Times New Roman" w:cs="Times New Roman"/>
          <w:sz w:val="24"/>
          <w:szCs w:val="24"/>
          <w:lang w:eastAsia="tr-TR"/>
        </w:rPr>
        <w:t xml:space="preserve">. </w:t>
      </w:r>
      <w:r w:rsidR="002D5A7B" w:rsidRPr="00932F51">
        <w:rPr>
          <w:rFonts w:ascii="Times New Roman" w:eastAsia="Times New Roman" w:hAnsi="Times New Roman" w:cs="Times New Roman"/>
          <w:sz w:val="24"/>
          <w:szCs w:val="24"/>
          <w:lang w:eastAsia="tr-TR"/>
        </w:rPr>
        <w:t>Orta Vadeli Mali Plan dönemi merkezi yönetim bütçe dengesi ve faiz dışı fazla hedefleri Tablo 2’de yer almaktadır.</w:t>
      </w:r>
    </w:p>
    <w:p w:rsidR="002D5A7B" w:rsidRPr="00932F51" w:rsidRDefault="002D5A7B" w:rsidP="00933401">
      <w:pPr>
        <w:spacing w:after="120"/>
        <w:ind w:firstLine="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2- Merkezi Yönetim Bütçe Dengesi ve Faiz Dışı Fazlası</w:t>
      </w:r>
    </w:p>
    <w:tbl>
      <w:tblPr>
        <w:tblW w:w="8648" w:type="dxa"/>
        <w:jc w:val="center"/>
        <w:tblCellMar>
          <w:left w:w="70" w:type="dxa"/>
          <w:right w:w="70" w:type="dxa"/>
        </w:tblCellMar>
        <w:tblLook w:val="00A0" w:firstRow="1" w:lastRow="0" w:firstColumn="1" w:lastColumn="0" w:noHBand="0" w:noVBand="0"/>
      </w:tblPr>
      <w:tblGrid>
        <w:gridCol w:w="5000"/>
        <w:gridCol w:w="1238"/>
        <w:gridCol w:w="1276"/>
        <w:gridCol w:w="1134"/>
      </w:tblGrid>
      <w:tr w:rsidR="00E3694C" w:rsidRPr="00E3694C" w:rsidTr="0059531E">
        <w:trPr>
          <w:trHeight w:val="20"/>
          <w:jc w:val="center"/>
        </w:trPr>
        <w:tc>
          <w:tcPr>
            <w:tcW w:w="5000"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2D5A7B" w:rsidP="00933401">
            <w:pPr>
              <w:spacing w:after="0"/>
              <w:jc w:val="center"/>
              <w:rPr>
                <w:rFonts w:ascii="Times New Roman" w:eastAsia="Times New Roman" w:hAnsi="Times New Roman" w:cs="Times New Roman"/>
                <w:sz w:val="24"/>
                <w:szCs w:val="24"/>
                <w:lang w:eastAsia="tr-TR"/>
              </w:rPr>
            </w:pPr>
          </w:p>
        </w:tc>
        <w:tc>
          <w:tcPr>
            <w:tcW w:w="1238" w:type="dxa"/>
            <w:tcBorders>
              <w:top w:val="single" w:sz="8" w:space="0" w:color="auto"/>
              <w:left w:val="nil"/>
              <w:bottom w:val="single" w:sz="8" w:space="0" w:color="auto"/>
              <w:right w:val="single" w:sz="8" w:space="0" w:color="auto"/>
            </w:tcBorders>
            <w:noWrap/>
            <w:vAlign w:val="center"/>
            <w:hideMark/>
          </w:tcPr>
          <w:p w:rsidR="002D5A7B" w:rsidRPr="00E3694C" w:rsidRDefault="002D5A7B" w:rsidP="00343066">
            <w:pPr>
              <w:spacing w:after="0"/>
              <w:jc w:val="center"/>
              <w:rPr>
                <w:rFonts w:ascii="Times New Roman" w:eastAsia="Times New Roman" w:hAnsi="Times New Roman" w:cs="Times New Roman"/>
                <w:b/>
                <w:bCs/>
                <w:sz w:val="24"/>
                <w:szCs w:val="24"/>
                <w:lang w:eastAsia="tr-TR"/>
              </w:rPr>
            </w:pPr>
            <w:r w:rsidRPr="00E3694C">
              <w:rPr>
                <w:rFonts w:ascii="Times New Roman" w:eastAsia="Times New Roman" w:hAnsi="Times New Roman" w:cs="Times New Roman"/>
                <w:b/>
                <w:bCs/>
                <w:sz w:val="24"/>
                <w:szCs w:val="24"/>
                <w:lang w:eastAsia="tr-TR"/>
              </w:rPr>
              <w:t>201</w:t>
            </w:r>
            <w:r w:rsidR="00343066" w:rsidRPr="00E3694C">
              <w:rPr>
                <w:rFonts w:ascii="Times New Roman" w:eastAsia="Times New Roman" w:hAnsi="Times New Roman" w:cs="Times New Roman"/>
                <w:b/>
                <w:bCs/>
                <w:sz w:val="24"/>
                <w:szCs w:val="24"/>
                <w:lang w:eastAsia="tr-TR"/>
              </w:rPr>
              <w:t>8</w:t>
            </w:r>
          </w:p>
        </w:tc>
        <w:tc>
          <w:tcPr>
            <w:tcW w:w="1276" w:type="dxa"/>
            <w:tcBorders>
              <w:top w:val="single" w:sz="8" w:space="0" w:color="auto"/>
              <w:left w:val="nil"/>
              <w:bottom w:val="single" w:sz="8" w:space="0" w:color="auto"/>
              <w:right w:val="single" w:sz="8" w:space="0" w:color="auto"/>
            </w:tcBorders>
            <w:noWrap/>
            <w:vAlign w:val="center"/>
            <w:hideMark/>
          </w:tcPr>
          <w:p w:rsidR="002D5A7B" w:rsidRPr="00E3694C" w:rsidRDefault="002D5A7B" w:rsidP="00343066">
            <w:pPr>
              <w:spacing w:after="0"/>
              <w:jc w:val="center"/>
              <w:rPr>
                <w:rFonts w:ascii="Times New Roman" w:eastAsia="Times New Roman" w:hAnsi="Times New Roman" w:cs="Times New Roman"/>
                <w:b/>
                <w:bCs/>
                <w:sz w:val="24"/>
                <w:szCs w:val="24"/>
                <w:lang w:eastAsia="tr-TR"/>
              </w:rPr>
            </w:pPr>
            <w:r w:rsidRPr="00E3694C">
              <w:rPr>
                <w:rFonts w:ascii="Times New Roman" w:eastAsia="Times New Roman" w:hAnsi="Times New Roman" w:cs="Times New Roman"/>
                <w:b/>
                <w:bCs/>
                <w:sz w:val="24"/>
                <w:szCs w:val="24"/>
                <w:lang w:eastAsia="tr-TR"/>
              </w:rPr>
              <w:t>201</w:t>
            </w:r>
            <w:r w:rsidR="00343066" w:rsidRPr="00E3694C">
              <w:rPr>
                <w:rFonts w:ascii="Times New Roman" w:eastAsia="Times New Roman" w:hAnsi="Times New Roman" w:cs="Times New Roman"/>
                <w:b/>
                <w:bCs/>
                <w:sz w:val="24"/>
                <w:szCs w:val="24"/>
                <w:lang w:eastAsia="tr-TR"/>
              </w:rPr>
              <w:t>9</w:t>
            </w:r>
          </w:p>
        </w:tc>
        <w:tc>
          <w:tcPr>
            <w:tcW w:w="1134" w:type="dxa"/>
            <w:tcBorders>
              <w:top w:val="single" w:sz="8" w:space="0" w:color="auto"/>
              <w:left w:val="nil"/>
              <w:bottom w:val="single" w:sz="8" w:space="0" w:color="auto"/>
              <w:right w:val="single" w:sz="8" w:space="0" w:color="auto"/>
            </w:tcBorders>
            <w:vAlign w:val="center"/>
            <w:hideMark/>
          </w:tcPr>
          <w:p w:rsidR="002D5A7B" w:rsidRPr="00E3694C" w:rsidRDefault="002D5A7B" w:rsidP="00343066">
            <w:pPr>
              <w:spacing w:after="0"/>
              <w:jc w:val="center"/>
              <w:rPr>
                <w:rFonts w:ascii="Times New Roman" w:eastAsia="Times New Roman" w:hAnsi="Times New Roman" w:cs="Times New Roman"/>
                <w:b/>
                <w:bCs/>
                <w:sz w:val="24"/>
                <w:szCs w:val="24"/>
                <w:lang w:eastAsia="tr-TR"/>
              </w:rPr>
            </w:pPr>
            <w:r w:rsidRPr="00E3694C">
              <w:rPr>
                <w:rFonts w:ascii="Times New Roman" w:eastAsia="Times New Roman" w:hAnsi="Times New Roman" w:cs="Times New Roman"/>
                <w:b/>
                <w:bCs/>
                <w:sz w:val="24"/>
                <w:szCs w:val="24"/>
                <w:lang w:eastAsia="tr-TR"/>
              </w:rPr>
              <w:t>20</w:t>
            </w:r>
            <w:r w:rsidR="00343066" w:rsidRPr="00E3694C">
              <w:rPr>
                <w:rFonts w:ascii="Times New Roman" w:eastAsia="Times New Roman" w:hAnsi="Times New Roman" w:cs="Times New Roman"/>
                <w:b/>
                <w:bCs/>
                <w:sz w:val="24"/>
                <w:szCs w:val="24"/>
                <w:lang w:eastAsia="tr-TR"/>
              </w:rPr>
              <w:t>20</w:t>
            </w:r>
          </w:p>
        </w:tc>
      </w:tr>
      <w:tr w:rsidR="004C49DD" w:rsidRPr="00932F51" w:rsidTr="006F73C0">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4C49DD" w:rsidRPr="00932F51" w:rsidRDefault="004C49DD"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 Dengesi (Milyon TL)</w:t>
            </w:r>
          </w:p>
        </w:tc>
        <w:tc>
          <w:tcPr>
            <w:tcW w:w="1238" w:type="dxa"/>
            <w:tcBorders>
              <w:top w:val="nil"/>
              <w:left w:val="nil"/>
              <w:bottom w:val="single" w:sz="8" w:space="0" w:color="auto"/>
              <w:right w:val="single" w:sz="8" w:space="0" w:color="auto"/>
            </w:tcBorders>
            <w:noWrap/>
            <w:vAlign w:val="bottom"/>
          </w:tcPr>
          <w:p w:rsidR="004C49DD" w:rsidRPr="00932F51" w:rsidRDefault="004C49DD" w:rsidP="00933401">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-65.924</w:t>
            </w:r>
          </w:p>
        </w:tc>
        <w:tc>
          <w:tcPr>
            <w:tcW w:w="1276" w:type="dxa"/>
            <w:tcBorders>
              <w:top w:val="nil"/>
              <w:left w:val="nil"/>
              <w:bottom w:val="single" w:sz="8" w:space="0" w:color="auto"/>
              <w:right w:val="single" w:sz="8" w:space="0" w:color="auto"/>
            </w:tcBorders>
            <w:noWrap/>
          </w:tcPr>
          <w:p w:rsidR="004C49DD" w:rsidRPr="004C49DD" w:rsidRDefault="004C49DD" w:rsidP="004C49DD">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-73.240</w:t>
            </w:r>
          </w:p>
        </w:tc>
        <w:tc>
          <w:tcPr>
            <w:tcW w:w="1134" w:type="dxa"/>
            <w:tcBorders>
              <w:top w:val="nil"/>
              <w:left w:val="nil"/>
              <w:bottom w:val="single" w:sz="8" w:space="0" w:color="auto"/>
              <w:right w:val="single" w:sz="8" w:space="0" w:color="auto"/>
            </w:tcBorders>
          </w:tcPr>
          <w:p w:rsidR="004C49DD" w:rsidRPr="004C49DD" w:rsidRDefault="004C49DD" w:rsidP="004C49DD">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-70.537</w:t>
            </w:r>
          </w:p>
        </w:tc>
      </w:tr>
      <w:tr w:rsidR="00932F51" w:rsidRPr="00932F51" w:rsidTr="0059531E">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 Dengesi / GSYH (%)</w:t>
            </w:r>
          </w:p>
        </w:tc>
        <w:tc>
          <w:tcPr>
            <w:tcW w:w="1238" w:type="dxa"/>
            <w:tcBorders>
              <w:top w:val="nil"/>
              <w:left w:val="nil"/>
              <w:bottom w:val="single" w:sz="8" w:space="0" w:color="auto"/>
              <w:right w:val="single" w:sz="8" w:space="0" w:color="auto"/>
            </w:tcBorders>
            <w:noWrap/>
            <w:vAlign w:val="bottom"/>
          </w:tcPr>
          <w:p w:rsidR="002D5A7B" w:rsidRPr="00932F51" w:rsidRDefault="00E3694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1276" w:type="dxa"/>
            <w:tcBorders>
              <w:top w:val="nil"/>
              <w:left w:val="nil"/>
              <w:bottom w:val="single" w:sz="8" w:space="0" w:color="auto"/>
              <w:right w:val="single" w:sz="8" w:space="0" w:color="auto"/>
            </w:tcBorders>
            <w:noWrap/>
            <w:vAlign w:val="bottom"/>
          </w:tcPr>
          <w:p w:rsidR="002D5A7B" w:rsidRPr="00932F51" w:rsidRDefault="00E3694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1134" w:type="dxa"/>
            <w:tcBorders>
              <w:top w:val="nil"/>
              <w:left w:val="nil"/>
              <w:bottom w:val="single" w:sz="8" w:space="0" w:color="auto"/>
              <w:right w:val="single" w:sz="8" w:space="0" w:color="auto"/>
            </w:tcBorders>
          </w:tcPr>
          <w:p w:rsidR="002D5A7B" w:rsidRPr="00932F51" w:rsidRDefault="00E3694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r>
      <w:tr w:rsidR="004C49DD" w:rsidRPr="00932F51" w:rsidTr="00E3694C">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4C49DD" w:rsidRPr="00932F51" w:rsidRDefault="004C49DD"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Faiz Dışı Fazla (Milyon TL)</w:t>
            </w:r>
          </w:p>
        </w:tc>
        <w:tc>
          <w:tcPr>
            <w:tcW w:w="1238" w:type="dxa"/>
            <w:tcBorders>
              <w:top w:val="nil"/>
              <w:left w:val="nil"/>
              <w:bottom w:val="single" w:sz="8" w:space="0" w:color="auto"/>
              <w:right w:val="single" w:sz="8" w:space="0" w:color="auto"/>
            </w:tcBorders>
            <w:noWrap/>
            <w:vAlign w:val="bottom"/>
          </w:tcPr>
          <w:p w:rsidR="004C49DD" w:rsidRPr="00932F51" w:rsidRDefault="004C49DD" w:rsidP="00933401">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5.776</w:t>
            </w:r>
          </w:p>
        </w:tc>
        <w:tc>
          <w:tcPr>
            <w:tcW w:w="1276" w:type="dxa"/>
            <w:tcBorders>
              <w:top w:val="nil"/>
              <w:left w:val="nil"/>
              <w:bottom w:val="single" w:sz="8" w:space="0" w:color="auto"/>
              <w:right w:val="single" w:sz="8" w:space="0" w:color="auto"/>
            </w:tcBorders>
            <w:shd w:val="clear" w:color="auto" w:fill="auto"/>
            <w:noWrap/>
          </w:tcPr>
          <w:p w:rsidR="004C49DD" w:rsidRPr="004C49DD" w:rsidRDefault="004C49DD" w:rsidP="004C49DD">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11.760</w:t>
            </w:r>
          </w:p>
        </w:tc>
        <w:tc>
          <w:tcPr>
            <w:tcW w:w="1134" w:type="dxa"/>
            <w:tcBorders>
              <w:top w:val="nil"/>
              <w:left w:val="nil"/>
              <w:bottom w:val="single" w:sz="8" w:space="0" w:color="auto"/>
              <w:right w:val="single" w:sz="8" w:space="0" w:color="auto"/>
            </w:tcBorders>
            <w:shd w:val="clear" w:color="auto" w:fill="auto"/>
          </w:tcPr>
          <w:p w:rsidR="004C49DD" w:rsidRPr="004C49DD" w:rsidRDefault="004C49DD" w:rsidP="004C49DD">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25.463</w:t>
            </w:r>
          </w:p>
        </w:tc>
      </w:tr>
      <w:tr w:rsidR="00E3694C" w:rsidRPr="00932F51" w:rsidTr="00DE2B12">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E3694C" w:rsidRPr="00932F51" w:rsidRDefault="00E3694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Faiz Dışı Fazla / GSYH (%)</w:t>
            </w:r>
          </w:p>
        </w:tc>
        <w:tc>
          <w:tcPr>
            <w:tcW w:w="1238" w:type="dxa"/>
            <w:tcBorders>
              <w:top w:val="nil"/>
              <w:left w:val="nil"/>
              <w:bottom w:val="single" w:sz="8" w:space="0" w:color="auto"/>
              <w:right w:val="single" w:sz="8" w:space="0" w:color="auto"/>
            </w:tcBorders>
            <w:noWrap/>
            <w:vAlign w:val="bottom"/>
          </w:tcPr>
          <w:p w:rsidR="00E3694C" w:rsidRPr="00932F51" w:rsidRDefault="00E3694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w:t>
            </w:r>
          </w:p>
        </w:tc>
        <w:tc>
          <w:tcPr>
            <w:tcW w:w="1276" w:type="dxa"/>
            <w:tcBorders>
              <w:top w:val="nil"/>
              <w:left w:val="nil"/>
              <w:bottom w:val="single" w:sz="8" w:space="0" w:color="auto"/>
              <w:right w:val="single" w:sz="8" w:space="0" w:color="auto"/>
            </w:tcBorders>
            <w:noWrap/>
          </w:tcPr>
          <w:p w:rsidR="00E3694C" w:rsidRPr="00E3694C" w:rsidRDefault="00E3694C" w:rsidP="00E3694C">
            <w:pPr>
              <w:spacing w:after="0"/>
              <w:jc w:val="right"/>
              <w:rPr>
                <w:rFonts w:ascii="Times New Roman" w:eastAsia="Times New Roman" w:hAnsi="Times New Roman" w:cs="Times New Roman"/>
                <w:sz w:val="24"/>
                <w:szCs w:val="24"/>
                <w:lang w:eastAsia="tr-TR"/>
              </w:rPr>
            </w:pPr>
            <w:r w:rsidRPr="00E3694C">
              <w:rPr>
                <w:rFonts w:ascii="Times New Roman" w:eastAsia="Times New Roman" w:hAnsi="Times New Roman" w:cs="Times New Roman"/>
                <w:sz w:val="24"/>
                <w:szCs w:val="24"/>
                <w:lang w:eastAsia="tr-TR"/>
              </w:rPr>
              <w:t>0,3</w:t>
            </w:r>
          </w:p>
        </w:tc>
        <w:tc>
          <w:tcPr>
            <w:tcW w:w="1134" w:type="dxa"/>
            <w:tcBorders>
              <w:top w:val="nil"/>
              <w:left w:val="nil"/>
              <w:bottom w:val="single" w:sz="8" w:space="0" w:color="auto"/>
              <w:right w:val="single" w:sz="8" w:space="0" w:color="auto"/>
            </w:tcBorders>
          </w:tcPr>
          <w:p w:rsidR="00E3694C" w:rsidRPr="00E3694C" w:rsidRDefault="00E3694C" w:rsidP="00E3694C">
            <w:pPr>
              <w:spacing w:after="0"/>
              <w:jc w:val="right"/>
              <w:rPr>
                <w:rFonts w:ascii="Times New Roman" w:eastAsia="Times New Roman" w:hAnsi="Times New Roman" w:cs="Times New Roman"/>
                <w:sz w:val="24"/>
                <w:szCs w:val="24"/>
                <w:lang w:eastAsia="tr-TR"/>
              </w:rPr>
            </w:pPr>
            <w:r w:rsidRPr="00E3694C">
              <w:rPr>
                <w:rFonts w:ascii="Times New Roman" w:eastAsia="Times New Roman" w:hAnsi="Times New Roman" w:cs="Times New Roman"/>
                <w:sz w:val="24"/>
                <w:szCs w:val="24"/>
                <w:lang w:eastAsia="tr-TR"/>
              </w:rPr>
              <w:t>0,6</w:t>
            </w:r>
          </w:p>
        </w:tc>
      </w:tr>
    </w:tbl>
    <w:p w:rsidR="002D5A7B" w:rsidRPr="006632F3" w:rsidRDefault="002D5A7B" w:rsidP="00933401">
      <w:pPr>
        <w:spacing w:before="240" w:after="120"/>
        <w:ind w:firstLine="567"/>
        <w:jc w:val="both"/>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201</w:t>
      </w:r>
      <w:r w:rsidR="00347182" w:rsidRPr="006632F3">
        <w:rPr>
          <w:rFonts w:ascii="Times New Roman" w:eastAsia="Times New Roman" w:hAnsi="Times New Roman" w:cs="Times New Roman"/>
          <w:sz w:val="24"/>
          <w:szCs w:val="24"/>
          <w:lang w:eastAsia="tr-TR"/>
        </w:rPr>
        <w:t>8</w:t>
      </w:r>
      <w:r w:rsidRPr="006632F3">
        <w:rPr>
          <w:rFonts w:ascii="Times New Roman" w:eastAsia="Times New Roman" w:hAnsi="Times New Roman" w:cs="Times New Roman"/>
          <w:sz w:val="24"/>
          <w:szCs w:val="24"/>
          <w:lang w:eastAsia="tr-TR"/>
        </w:rPr>
        <w:t xml:space="preserve"> </w:t>
      </w:r>
      <w:r w:rsidR="00E3694C" w:rsidRPr="006632F3">
        <w:rPr>
          <w:rFonts w:ascii="Times New Roman" w:eastAsia="Times New Roman" w:hAnsi="Times New Roman" w:cs="Times New Roman"/>
          <w:sz w:val="24"/>
          <w:szCs w:val="24"/>
          <w:lang w:eastAsia="tr-TR"/>
        </w:rPr>
        <w:t>ve 2019 yılları</w:t>
      </w:r>
      <w:r w:rsidRPr="006632F3">
        <w:rPr>
          <w:rFonts w:ascii="Times New Roman" w:eastAsia="Times New Roman" w:hAnsi="Times New Roman" w:cs="Times New Roman"/>
          <w:sz w:val="24"/>
          <w:szCs w:val="24"/>
          <w:lang w:eastAsia="tr-TR"/>
        </w:rPr>
        <w:t xml:space="preserve"> merkezi yönetim bütçe açığının GSYH’ye oranının yüzde </w:t>
      </w:r>
      <w:r w:rsidR="00E3694C" w:rsidRPr="006632F3">
        <w:rPr>
          <w:rFonts w:ascii="Times New Roman" w:eastAsia="Times New Roman" w:hAnsi="Times New Roman" w:cs="Times New Roman"/>
          <w:sz w:val="24"/>
          <w:szCs w:val="24"/>
          <w:lang w:eastAsia="tr-TR"/>
        </w:rPr>
        <w:t>1,9</w:t>
      </w:r>
      <w:r w:rsidR="00347182" w:rsidRPr="006632F3">
        <w:rPr>
          <w:rFonts w:ascii="Times New Roman" w:eastAsia="Times New Roman" w:hAnsi="Times New Roman" w:cs="Times New Roman"/>
          <w:sz w:val="24"/>
          <w:szCs w:val="24"/>
          <w:lang w:eastAsia="tr-TR"/>
        </w:rPr>
        <w:t xml:space="preserve"> </w:t>
      </w:r>
      <w:r w:rsidRPr="006632F3">
        <w:rPr>
          <w:rFonts w:ascii="Times New Roman" w:eastAsia="Times New Roman" w:hAnsi="Times New Roman" w:cs="Times New Roman"/>
          <w:sz w:val="24"/>
          <w:szCs w:val="24"/>
          <w:lang w:eastAsia="tr-TR"/>
        </w:rPr>
        <w:t>olarak gerçekleşeceği, 20</w:t>
      </w:r>
      <w:r w:rsidR="00347182" w:rsidRPr="006632F3">
        <w:rPr>
          <w:rFonts w:ascii="Times New Roman" w:eastAsia="Times New Roman" w:hAnsi="Times New Roman" w:cs="Times New Roman"/>
          <w:sz w:val="24"/>
          <w:szCs w:val="24"/>
          <w:lang w:eastAsia="tr-TR"/>
        </w:rPr>
        <w:t>20</w:t>
      </w:r>
      <w:r w:rsidR="00E3694C" w:rsidRPr="006632F3">
        <w:rPr>
          <w:rFonts w:ascii="Times New Roman" w:eastAsia="Times New Roman" w:hAnsi="Times New Roman" w:cs="Times New Roman"/>
          <w:sz w:val="24"/>
          <w:szCs w:val="24"/>
          <w:lang w:eastAsia="tr-TR"/>
        </w:rPr>
        <w:t xml:space="preserve"> yılında</w:t>
      </w:r>
      <w:r w:rsidRPr="006632F3">
        <w:rPr>
          <w:rFonts w:ascii="Times New Roman" w:eastAsia="Times New Roman" w:hAnsi="Times New Roman" w:cs="Times New Roman"/>
          <w:sz w:val="24"/>
          <w:szCs w:val="24"/>
          <w:lang w:eastAsia="tr-TR"/>
        </w:rPr>
        <w:t xml:space="preserve"> ise yüzde </w:t>
      </w:r>
      <w:r w:rsidR="006632F3">
        <w:rPr>
          <w:rFonts w:ascii="Times New Roman" w:eastAsia="Times New Roman" w:hAnsi="Times New Roman" w:cs="Times New Roman"/>
          <w:sz w:val="24"/>
          <w:szCs w:val="24"/>
          <w:lang w:eastAsia="tr-TR"/>
        </w:rPr>
        <w:t>1,6’</w:t>
      </w:r>
      <w:r w:rsidR="00E3694C" w:rsidRPr="006632F3">
        <w:rPr>
          <w:rFonts w:ascii="Times New Roman" w:eastAsia="Times New Roman" w:hAnsi="Times New Roman" w:cs="Times New Roman"/>
          <w:sz w:val="24"/>
          <w:szCs w:val="24"/>
          <w:lang w:eastAsia="tr-TR"/>
        </w:rPr>
        <w:t xml:space="preserve">ya </w:t>
      </w:r>
      <w:r w:rsidRPr="006632F3">
        <w:rPr>
          <w:rFonts w:ascii="Times New Roman" w:eastAsia="Times New Roman" w:hAnsi="Times New Roman" w:cs="Times New Roman"/>
          <w:sz w:val="24"/>
          <w:szCs w:val="24"/>
          <w:lang w:eastAsia="tr-TR"/>
        </w:rPr>
        <w:t xml:space="preserve">düşeceği tahmin edilmektedir. </w:t>
      </w:r>
    </w:p>
    <w:p w:rsidR="002D5A7B" w:rsidRDefault="002D5A7B" w:rsidP="00933401">
      <w:pPr>
        <w:spacing w:after="120"/>
        <w:ind w:firstLine="567"/>
        <w:jc w:val="both"/>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Orta Vadeli Mali Plan döneminde, faiz dışı fazlanın GSYH’ye oranının 201</w:t>
      </w:r>
      <w:r w:rsidR="00347182" w:rsidRPr="006632F3">
        <w:rPr>
          <w:rFonts w:ascii="Times New Roman" w:eastAsia="Times New Roman" w:hAnsi="Times New Roman" w:cs="Times New Roman"/>
          <w:sz w:val="24"/>
          <w:szCs w:val="24"/>
          <w:lang w:eastAsia="tr-TR"/>
        </w:rPr>
        <w:t>8</w:t>
      </w:r>
      <w:r w:rsidRPr="006632F3">
        <w:rPr>
          <w:rFonts w:ascii="Times New Roman" w:eastAsia="Times New Roman" w:hAnsi="Times New Roman" w:cs="Times New Roman"/>
          <w:sz w:val="24"/>
          <w:szCs w:val="24"/>
          <w:lang w:eastAsia="tr-TR"/>
        </w:rPr>
        <w:t xml:space="preserve"> yılında yüzde </w:t>
      </w:r>
      <w:r w:rsidR="006632F3" w:rsidRPr="006632F3">
        <w:rPr>
          <w:rFonts w:ascii="Times New Roman" w:eastAsia="Times New Roman" w:hAnsi="Times New Roman" w:cs="Times New Roman"/>
          <w:sz w:val="24"/>
          <w:szCs w:val="24"/>
          <w:lang w:eastAsia="tr-TR"/>
        </w:rPr>
        <w:t>0,2</w:t>
      </w:r>
      <w:r w:rsidRPr="006632F3">
        <w:rPr>
          <w:rFonts w:ascii="Times New Roman" w:eastAsia="Times New Roman" w:hAnsi="Times New Roman" w:cs="Times New Roman"/>
          <w:sz w:val="24"/>
          <w:szCs w:val="24"/>
          <w:lang w:eastAsia="tr-TR"/>
        </w:rPr>
        <w:t>, 201</w:t>
      </w:r>
      <w:r w:rsidR="00347182" w:rsidRPr="006632F3">
        <w:rPr>
          <w:rFonts w:ascii="Times New Roman" w:eastAsia="Times New Roman" w:hAnsi="Times New Roman" w:cs="Times New Roman"/>
          <w:sz w:val="24"/>
          <w:szCs w:val="24"/>
          <w:lang w:eastAsia="tr-TR"/>
        </w:rPr>
        <w:t>9</w:t>
      </w:r>
      <w:r w:rsidRPr="006632F3">
        <w:rPr>
          <w:rFonts w:ascii="Times New Roman" w:eastAsia="Times New Roman" w:hAnsi="Times New Roman" w:cs="Times New Roman"/>
          <w:sz w:val="24"/>
          <w:szCs w:val="24"/>
          <w:lang w:eastAsia="tr-TR"/>
        </w:rPr>
        <w:t xml:space="preserve"> </w:t>
      </w:r>
      <w:r w:rsidR="005E5613" w:rsidRPr="006632F3">
        <w:rPr>
          <w:rFonts w:ascii="Times New Roman" w:eastAsia="Times New Roman" w:hAnsi="Times New Roman" w:cs="Times New Roman"/>
          <w:sz w:val="24"/>
          <w:szCs w:val="24"/>
          <w:lang w:eastAsia="tr-TR"/>
        </w:rPr>
        <w:t xml:space="preserve">ve </w:t>
      </w:r>
      <w:r w:rsidR="00347182" w:rsidRPr="006632F3">
        <w:rPr>
          <w:rFonts w:ascii="Times New Roman" w:eastAsia="Times New Roman" w:hAnsi="Times New Roman" w:cs="Times New Roman"/>
          <w:sz w:val="24"/>
          <w:szCs w:val="24"/>
          <w:lang w:eastAsia="tr-TR"/>
        </w:rPr>
        <w:t>2020</w:t>
      </w:r>
      <w:r w:rsidR="005E5613" w:rsidRPr="006632F3">
        <w:rPr>
          <w:rFonts w:ascii="Times New Roman" w:eastAsia="Times New Roman" w:hAnsi="Times New Roman" w:cs="Times New Roman"/>
          <w:sz w:val="24"/>
          <w:szCs w:val="24"/>
          <w:lang w:eastAsia="tr-TR"/>
        </w:rPr>
        <w:t xml:space="preserve"> </w:t>
      </w:r>
      <w:r w:rsidRPr="006632F3">
        <w:rPr>
          <w:rFonts w:ascii="Times New Roman" w:eastAsia="Times New Roman" w:hAnsi="Times New Roman" w:cs="Times New Roman"/>
          <w:sz w:val="24"/>
          <w:szCs w:val="24"/>
          <w:lang w:eastAsia="tr-TR"/>
        </w:rPr>
        <w:t>yıl</w:t>
      </w:r>
      <w:r w:rsidR="005E5613" w:rsidRPr="006632F3">
        <w:rPr>
          <w:rFonts w:ascii="Times New Roman" w:eastAsia="Times New Roman" w:hAnsi="Times New Roman" w:cs="Times New Roman"/>
          <w:sz w:val="24"/>
          <w:szCs w:val="24"/>
          <w:lang w:eastAsia="tr-TR"/>
        </w:rPr>
        <w:t>lar</w:t>
      </w:r>
      <w:r w:rsidRPr="006632F3">
        <w:rPr>
          <w:rFonts w:ascii="Times New Roman" w:eastAsia="Times New Roman" w:hAnsi="Times New Roman" w:cs="Times New Roman"/>
          <w:sz w:val="24"/>
          <w:szCs w:val="24"/>
          <w:lang w:eastAsia="tr-TR"/>
        </w:rPr>
        <w:t>ında</w:t>
      </w:r>
      <w:r w:rsidR="009B7EA9" w:rsidRPr="006632F3">
        <w:rPr>
          <w:rFonts w:ascii="Times New Roman" w:eastAsia="Times New Roman" w:hAnsi="Times New Roman" w:cs="Times New Roman"/>
          <w:sz w:val="24"/>
          <w:szCs w:val="24"/>
          <w:lang w:eastAsia="tr-TR"/>
        </w:rPr>
        <w:t xml:space="preserve"> ise sırasıyla </w:t>
      </w:r>
      <w:r w:rsidRPr="006632F3">
        <w:rPr>
          <w:rFonts w:ascii="Times New Roman" w:eastAsia="Times New Roman" w:hAnsi="Times New Roman" w:cs="Times New Roman"/>
          <w:sz w:val="24"/>
          <w:szCs w:val="24"/>
          <w:lang w:eastAsia="tr-TR"/>
        </w:rPr>
        <w:t xml:space="preserve">yüzde </w:t>
      </w:r>
      <w:r w:rsidR="006632F3" w:rsidRPr="006632F3">
        <w:rPr>
          <w:rFonts w:ascii="Times New Roman" w:eastAsia="Times New Roman" w:hAnsi="Times New Roman" w:cs="Times New Roman"/>
          <w:sz w:val="24"/>
          <w:szCs w:val="24"/>
          <w:lang w:eastAsia="tr-TR"/>
        </w:rPr>
        <w:t>0,3</w:t>
      </w:r>
      <w:r w:rsidR="00347182" w:rsidRPr="006632F3">
        <w:rPr>
          <w:rFonts w:ascii="Times New Roman" w:eastAsia="Times New Roman" w:hAnsi="Times New Roman" w:cs="Times New Roman"/>
          <w:sz w:val="24"/>
          <w:szCs w:val="24"/>
          <w:lang w:eastAsia="tr-TR"/>
        </w:rPr>
        <w:t xml:space="preserve"> </w:t>
      </w:r>
      <w:r w:rsidR="009B7EA9" w:rsidRPr="006632F3">
        <w:rPr>
          <w:rFonts w:ascii="Times New Roman" w:eastAsia="Times New Roman" w:hAnsi="Times New Roman" w:cs="Times New Roman"/>
          <w:sz w:val="24"/>
          <w:szCs w:val="24"/>
          <w:lang w:eastAsia="tr-TR"/>
        </w:rPr>
        <w:t xml:space="preserve">ve yüzde </w:t>
      </w:r>
      <w:r w:rsidR="006632F3" w:rsidRPr="006632F3">
        <w:rPr>
          <w:rFonts w:ascii="Times New Roman" w:eastAsia="Times New Roman" w:hAnsi="Times New Roman" w:cs="Times New Roman"/>
          <w:sz w:val="24"/>
          <w:szCs w:val="24"/>
          <w:lang w:eastAsia="tr-TR"/>
        </w:rPr>
        <w:t>0,6</w:t>
      </w:r>
      <w:r w:rsidR="00347182" w:rsidRPr="006632F3">
        <w:rPr>
          <w:rFonts w:ascii="Times New Roman" w:eastAsia="Times New Roman" w:hAnsi="Times New Roman" w:cs="Times New Roman"/>
          <w:sz w:val="24"/>
          <w:szCs w:val="24"/>
          <w:lang w:eastAsia="tr-TR"/>
        </w:rPr>
        <w:t xml:space="preserve"> </w:t>
      </w:r>
      <w:r w:rsidRPr="006632F3">
        <w:rPr>
          <w:rFonts w:ascii="Times New Roman" w:eastAsia="Times New Roman" w:hAnsi="Times New Roman" w:cs="Times New Roman"/>
          <w:sz w:val="24"/>
          <w:szCs w:val="24"/>
          <w:lang w:eastAsia="tr-TR"/>
        </w:rPr>
        <w:t xml:space="preserve">olarak gerçekleşeceği öngörülmektedir. </w:t>
      </w:r>
    </w:p>
    <w:p w:rsidR="006E204C" w:rsidRDefault="006E204C" w:rsidP="00933401">
      <w:pPr>
        <w:spacing w:after="120"/>
        <w:ind w:firstLine="567"/>
        <w:jc w:val="both"/>
        <w:rPr>
          <w:rFonts w:ascii="Times New Roman" w:eastAsia="Times New Roman" w:hAnsi="Times New Roman" w:cs="Times New Roman"/>
          <w:sz w:val="24"/>
          <w:szCs w:val="24"/>
          <w:lang w:eastAsia="tr-TR"/>
        </w:rPr>
      </w:pPr>
    </w:p>
    <w:p w:rsidR="006E204C" w:rsidRDefault="006E204C" w:rsidP="00933401">
      <w:pPr>
        <w:spacing w:after="120"/>
        <w:ind w:firstLine="567"/>
        <w:jc w:val="both"/>
        <w:rPr>
          <w:rFonts w:ascii="Times New Roman" w:eastAsia="Times New Roman" w:hAnsi="Times New Roman" w:cs="Times New Roman"/>
          <w:sz w:val="24"/>
          <w:szCs w:val="24"/>
          <w:lang w:eastAsia="tr-TR"/>
        </w:rPr>
      </w:pPr>
    </w:p>
    <w:p w:rsidR="006E204C" w:rsidRDefault="006E204C" w:rsidP="00933401">
      <w:pPr>
        <w:spacing w:after="120"/>
        <w:ind w:firstLine="567"/>
        <w:jc w:val="both"/>
        <w:rPr>
          <w:rFonts w:ascii="Times New Roman" w:eastAsia="Times New Roman" w:hAnsi="Times New Roman" w:cs="Times New Roman"/>
          <w:sz w:val="24"/>
          <w:szCs w:val="24"/>
          <w:lang w:eastAsia="tr-TR"/>
        </w:rPr>
      </w:pPr>
    </w:p>
    <w:p w:rsidR="006E204C" w:rsidRDefault="006E204C" w:rsidP="00933401">
      <w:pPr>
        <w:spacing w:after="120"/>
        <w:ind w:firstLine="567"/>
        <w:jc w:val="both"/>
        <w:rPr>
          <w:rFonts w:ascii="Times New Roman" w:eastAsia="Times New Roman" w:hAnsi="Times New Roman" w:cs="Times New Roman"/>
          <w:sz w:val="24"/>
          <w:szCs w:val="24"/>
          <w:lang w:eastAsia="tr-TR"/>
        </w:rPr>
      </w:pPr>
    </w:p>
    <w:p w:rsidR="006E204C" w:rsidRPr="006632F3" w:rsidRDefault="006E204C" w:rsidP="00933401">
      <w:pPr>
        <w:spacing w:after="120"/>
        <w:ind w:firstLine="567"/>
        <w:jc w:val="both"/>
        <w:rPr>
          <w:rFonts w:ascii="Times New Roman" w:eastAsia="Times New Roman" w:hAnsi="Times New Roman" w:cs="Times New Roman"/>
          <w:sz w:val="24"/>
          <w:szCs w:val="24"/>
          <w:lang w:eastAsia="tr-TR"/>
        </w:rPr>
      </w:pPr>
    </w:p>
    <w:p w:rsidR="002D5A7B" w:rsidRDefault="003F7DA1"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4</w:t>
      </w:r>
      <w:r w:rsidR="00D61DB7">
        <w:rPr>
          <w:rFonts w:ascii="Times New Roman" w:eastAsia="Times New Roman" w:hAnsi="Times New Roman" w:cs="Times New Roman"/>
          <w:sz w:val="24"/>
          <w:szCs w:val="24"/>
          <w:lang w:eastAsia="tr-TR"/>
        </w:rPr>
        <w:t>9</w:t>
      </w:r>
      <w:r>
        <w:rPr>
          <w:rFonts w:ascii="Times New Roman" w:eastAsia="Times New Roman" w:hAnsi="Times New Roman" w:cs="Times New Roman"/>
          <w:sz w:val="24"/>
          <w:szCs w:val="24"/>
          <w:lang w:eastAsia="tr-TR"/>
        </w:rPr>
        <w:t xml:space="preserve">. </w:t>
      </w:r>
      <w:r w:rsidR="002D5A7B" w:rsidRPr="00932F51">
        <w:rPr>
          <w:rFonts w:ascii="Times New Roman" w:eastAsia="Times New Roman" w:hAnsi="Times New Roman" w:cs="Times New Roman"/>
          <w:sz w:val="24"/>
          <w:szCs w:val="24"/>
          <w:lang w:eastAsia="tr-TR"/>
        </w:rPr>
        <w:t>Merkezi yönetim bütç</w:t>
      </w:r>
      <w:r w:rsidR="003027F9">
        <w:rPr>
          <w:rFonts w:ascii="Times New Roman" w:eastAsia="Times New Roman" w:hAnsi="Times New Roman" w:cs="Times New Roman"/>
          <w:sz w:val="24"/>
          <w:szCs w:val="24"/>
          <w:lang w:eastAsia="tr-TR"/>
        </w:rPr>
        <w:t>esinin program tanımlı gelir, gider</w:t>
      </w:r>
      <w:r w:rsidR="002D5A7B" w:rsidRPr="00932F51">
        <w:rPr>
          <w:rFonts w:ascii="Times New Roman" w:eastAsia="Times New Roman" w:hAnsi="Times New Roman" w:cs="Times New Roman"/>
          <w:sz w:val="24"/>
          <w:szCs w:val="24"/>
          <w:lang w:eastAsia="tr-TR"/>
        </w:rPr>
        <w:t xml:space="preserve"> </w:t>
      </w:r>
      <w:r w:rsidR="003027F9">
        <w:rPr>
          <w:rFonts w:ascii="Times New Roman" w:eastAsia="Times New Roman" w:hAnsi="Times New Roman" w:cs="Times New Roman"/>
          <w:sz w:val="24"/>
          <w:szCs w:val="24"/>
          <w:lang w:eastAsia="tr-TR"/>
        </w:rPr>
        <w:t>ve</w:t>
      </w:r>
      <w:r w:rsidR="002D5A7B" w:rsidRPr="00932F51">
        <w:rPr>
          <w:rFonts w:ascii="Times New Roman" w:eastAsia="Times New Roman" w:hAnsi="Times New Roman" w:cs="Times New Roman"/>
          <w:sz w:val="24"/>
          <w:szCs w:val="24"/>
          <w:lang w:eastAsia="tr-TR"/>
        </w:rPr>
        <w:t xml:space="preserve"> faiz dışı </w:t>
      </w:r>
      <w:r w:rsidR="00D416B1">
        <w:rPr>
          <w:rFonts w:ascii="Times New Roman" w:eastAsia="Times New Roman" w:hAnsi="Times New Roman" w:cs="Times New Roman"/>
          <w:sz w:val="24"/>
          <w:szCs w:val="24"/>
          <w:lang w:eastAsia="tr-TR"/>
        </w:rPr>
        <w:t>denge</w:t>
      </w:r>
      <w:r w:rsidR="002D5A7B" w:rsidRPr="00932F51">
        <w:rPr>
          <w:rFonts w:ascii="Times New Roman" w:eastAsia="Times New Roman" w:hAnsi="Times New Roman" w:cs="Times New Roman"/>
          <w:sz w:val="24"/>
          <w:szCs w:val="24"/>
          <w:lang w:eastAsia="tr-TR"/>
        </w:rPr>
        <w:t xml:space="preserve"> hedefleri ise Tablo 3’te yer almaktadır.</w:t>
      </w:r>
    </w:p>
    <w:p w:rsidR="002D5A7B" w:rsidRPr="00932F51" w:rsidRDefault="002D5A7B" w:rsidP="00FF6634">
      <w:pPr>
        <w:spacing w:after="120"/>
        <w:ind w:firstLine="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3- Program Tanımlı Bütçe Büyüklükleri</w:t>
      </w:r>
    </w:p>
    <w:tbl>
      <w:tblPr>
        <w:tblW w:w="86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813"/>
        <w:gridCol w:w="992"/>
        <w:gridCol w:w="920"/>
        <w:gridCol w:w="920"/>
      </w:tblGrid>
      <w:tr w:rsidR="00932F51" w:rsidRPr="00932F51" w:rsidTr="006632F3">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bottom"/>
          </w:tcPr>
          <w:p w:rsidR="002D5A7B" w:rsidRPr="007E0C77" w:rsidRDefault="007E0C77" w:rsidP="007E0C77">
            <w:pPr>
              <w:spacing w:after="0"/>
              <w:rPr>
                <w:rFonts w:ascii="Times New Roman" w:eastAsia="Times New Roman" w:hAnsi="Times New Roman" w:cs="Times New Roman"/>
                <w:b/>
                <w:sz w:val="24"/>
                <w:szCs w:val="24"/>
                <w:lang w:eastAsia="tr-TR"/>
              </w:rPr>
            </w:pPr>
            <w:bookmarkStart w:id="2" w:name="_Hlk240789454"/>
            <w:bookmarkStart w:id="3" w:name="_Hlk274314062"/>
            <w:bookmarkStart w:id="4" w:name="_Hlk274314084"/>
            <w:r w:rsidRPr="007E0C77">
              <w:rPr>
                <w:rFonts w:ascii="Times New Roman" w:eastAsia="Times New Roman" w:hAnsi="Times New Roman" w:cs="Times New Roman"/>
                <w:b/>
                <w:sz w:val="24"/>
                <w:szCs w:val="24"/>
                <w:lang w:eastAsia="tr-TR"/>
              </w:rPr>
              <w:t>Merkezi Yönetim Bütçesi</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D5A7B" w:rsidRPr="006632F3" w:rsidRDefault="002D5A7B" w:rsidP="00343066">
            <w:pPr>
              <w:spacing w:after="0"/>
              <w:jc w:val="center"/>
              <w:rPr>
                <w:rFonts w:ascii="Times New Roman" w:eastAsia="Times New Roman" w:hAnsi="Times New Roman" w:cs="Times New Roman"/>
                <w:b/>
                <w:bCs/>
                <w:sz w:val="24"/>
                <w:szCs w:val="24"/>
                <w:lang w:eastAsia="tr-TR"/>
              </w:rPr>
            </w:pPr>
            <w:r w:rsidRPr="006632F3">
              <w:rPr>
                <w:rFonts w:ascii="Times New Roman" w:eastAsia="Times New Roman" w:hAnsi="Times New Roman" w:cs="Times New Roman"/>
                <w:b/>
                <w:bCs/>
                <w:sz w:val="24"/>
                <w:szCs w:val="24"/>
                <w:lang w:eastAsia="tr-TR"/>
              </w:rPr>
              <w:t>201</w:t>
            </w:r>
            <w:r w:rsidR="00343066" w:rsidRPr="006632F3">
              <w:rPr>
                <w:rFonts w:ascii="Times New Roman" w:eastAsia="Times New Roman" w:hAnsi="Times New Roman" w:cs="Times New Roman"/>
                <w:b/>
                <w:bCs/>
                <w:sz w:val="24"/>
                <w:szCs w:val="24"/>
                <w:lang w:eastAsia="tr-TR"/>
              </w:rPr>
              <w:t>8</w:t>
            </w:r>
          </w:p>
        </w:tc>
        <w:tc>
          <w:tcPr>
            <w:tcW w:w="920" w:type="dxa"/>
            <w:tcBorders>
              <w:top w:val="single" w:sz="8" w:space="0" w:color="auto"/>
              <w:left w:val="single" w:sz="8" w:space="0" w:color="auto"/>
              <w:bottom w:val="single" w:sz="8" w:space="0" w:color="auto"/>
              <w:right w:val="single" w:sz="8" w:space="0" w:color="auto"/>
            </w:tcBorders>
            <w:noWrap/>
            <w:vAlign w:val="center"/>
            <w:hideMark/>
          </w:tcPr>
          <w:p w:rsidR="002D5A7B" w:rsidRPr="006632F3" w:rsidRDefault="002D5A7B" w:rsidP="00343066">
            <w:pPr>
              <w:spacing w:after="0"/>
              <w:jc w:val="center"/>
              <w:rPr>
                <w:rFonts w:ascii="Times New Roman" w:eastAsia="Times New Roman" w:hAnsi="Times New Roman" w:cs="Times New Roman"/>
                <w:b/>
                <w:bCs/>
                <w:sz w:val="24"/>
                <w:szCs w:val="24"/>
                <w:lang w:eastAsia="tr-TR"/>
              </w:rPr>
            </w:pPr>
            <w:r w:rsidRPr="006632F3">
              <w:rPr>
                <w:rFonts w:ascii="Times New Roman" w:eastAsia="Times New Roman" w:hAnsi="Times New Roman" w:cs="Times New Roman"/>
                <w:b/>
                <w:bCs/>
                <w:sz w:val="24"/>
                <w:szCs w:val="24"/>
                <w:lang w:eastAsia="tr-TR"/>
              </w:rPr>
              <w:t>201</w:t>
            </w:r>
            <w:r w:rsidR="00343066" w:rsidRPr="006632F3">
              <w:rPr>
                <w:rFonts w:ascii="Times New Roman" w:eastAsia="Times New Roman" w:hAnsi="Times New Roman" w:cs="Times New Roman"/>
                <w:b/>
                <w:bCs/>
                <w:sz w:val="24"/>
                <w:szCs w:val="24"/>
                <w:lang w:eastAsia="tr-TR"/>
              </w:rPr>
              <w:t>9</w:t>
            </w:r>
          </w:p>
        </w:tc>
        <w:tc>
          <w:tcPr>
            <w:tcW w:w="920" w:type="dxa"/>
            <w:tcBorders>
              <w:top w:val="single" w:sz="8" w:space="0" w:color="auto"/>
              <w:left w:val="single" w:sz="8" w:space="0" w:color="auto"/>
              <w:bottom w:val="single" w:sz="8" w:space="0" w:color="auto"/>
              <w:right w:val="single" w:sz="8" w:space="0" w:color="auto"/>
            </w:tcBorders>
            <w:vAlign w:val="center"/>
            <w:hideMark/>
          </w:tcPr>
          <w:p w:rsidR="002D5A7B" w:rsidRPr="006632F3" w:rsidRDefault="002D5A7B" w:rsidP="00343066">
            <w:pPr>
              <w:spacing w:after="0"/>
              <w:jc w:val="center"/>
              <w:rPr>
                <w:rFonts w:ascii="Times New Roman" w:eastAsia="Times New Roman" w:hAnsi="Times New Roman" w:cs="Times New Roman"/>
                <w:b/>
                <w:bCs/>
                <w:sz w:val="24"/>
                <w:szCs w:val="24"/>
                <w:lang w:eastAsia="tr-TR"/>
              </w:rPr>
            </w:pPr>
            <w:r w:rsidRPr="006632F3">
              <w:rPr>
                <w:rFonts w:ascii="Times New Roman" w:eastAsia="Times New Roman" w:hAnsi="Times New Roman" w:cs="Times New Roman"/>
                <w:b/>
                <w:bCs/>
                <w:sz w:val="24"/>
                <w:szCs w:val="24"/>
                <w:lang w:eastAsia="tr-TR"/>
              </w:rPr>
              <w:t>20</w:t>
            </w:r>
            <w:r w:rsidR="00343066" w:rsidRPr="006632F3">
              <w:rPr>
                <w:rFonts w:ascii="Times New Roman" w:eastAsia="Times New Roman" w:hAnsi="Times New Roman" w:cs="Times New Roman"/>
                <w:b/>
                <w:bCs/>
                <w:sz w:val="24"/>
                <w:szCs w:val="24"/>
                <w:lang w:eastAsia="tr-TR"/>
              </w:rPr>
              <w:t>20</w:t>
            </w:r>
          </w:p>
        </w:tc>
      </w:tr>
      <w:tr w:rsidR="004C49DD" w:rsidRPr="00932F51" w:rsidTr="006632F3">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4C49DD" w:rsidRPr="00932F51" w:rsidRDefault="004C49DD" w:rsidP="007E0C77">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Faiz Dışı Giderler (Milyon TL)</w:t>
            </w:r>
          </w:p>
        </w:tc>
        <w:tc>
          <w:tcPr>
            <w:tcW w:w="992" w:type="dxa"/>
            <w:tcBorders>
              <w:top w:val="single" w:sz="8" w:space="0" w:color="auto"/>
              <w:left w:val="single" w:sz="8" w:space="0" w:color="auto"/>
              <w:bottom w:val="single" w:sz="8" w:space="0" w:color="auto"/>
              <w:right w:val="single" w:sz="8" w:space="0" w:color="auto"/>
            </w:tcBorders>
            <w:noWrap/>
            <w:vAlign w:val="bottom"/>
          </w:tcPr>
          <w:p w:rsidR="004C49DD" w:rsidRPr="00932F51" w:rsidRDefault="004C49DD" w:rsidP="006E07AE">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691.043</w:t>
            </w:r>
          </w:p>
        </w:tc>
        <w:tc>
          <w:tcPr>
            <w:tcW w:w="920" w:type="dxa"/>
            <w:tcBorders>
              <w:top w:val="single" w:sz="8" w:space="0" w:color="auto"/>
              <w:left w:val="single" w:sz="8" w:space="0" w:color="auto"/>
              <w:bottom w:val="single" w:sz="8" w:space="0" w:color="auto"/>
              <w:right w:val="single" w:sz="8" w:space="0" w:color="auto"/>
            </w:tcBorders>
            <w:noWrap/>
          </w:tcPr>
          <w:p w:rsidR="004C49DD" w:rsidRPr="004C49DD" w:rsidRDefault="004C49DD" w:rsidP="004C49DD">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753.489</w:t>
            </w:r>
          </w:p>
        </w:tc>
        <w:tc>
          <w:tcPr>
            <w:tcW w:w="920" w:type="dxa"/>
            <w:tcBorders>
              <w:top w:val="single" w:sz="8" w:space="0" w:color="auto"/>
              <w:left w:val="single" w:sz="8" w:space="0" w:color="auto"/>
              <w:bottom w:val="single" w:sz="8" w:space="0" w:color="auto"/>
              <w:right w:val="single" w:sz="8" w:space="0" w:color="auto"/>
            </w:tcBorders>
          </w:tcPr>
          <w:p w:rsidR="004C49DD" w:rsidRPr="004C49DD" w:rsidRDefault="004C49DD" w:rsidP="004C49DD">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816.875</w:t>
            </w:r>
          </w:p>
        </w:tc>
      </w:tr>
      <w:tr w:rsidR="006632F3" w:rsidRPr="00932F51" w:rsidTr="006632F3">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6632F3" w:rsidRPr="00932F51" w:rsidRDefault="006632F3" w:rsidP="007E0C77">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Faiz Dışı Giderler / GSYH (%)</w:t>
            </w:r>
          </w:p>
        </w:tc>
        <w:tc>
          <w:tcPr>
            <w:tcW w:w="992" w:type="dxa"/>
            <w:tcBorders>
              <w:top w:val="single" w:sz="8" w:space="0" w:color="auto"/>
              <w:left w:val="single" w:sz="8" w:space="0" w:color="auto"/>
              <w:bottom w:val="single" w:sz="8" w:space="0" w:color="auto"/>
              <w:right w:val="single" w:sz="8" w:space="0" w:color="auto"/>
            </w:tcBorders>
            <w:noWrap/>
            <w:vAlign w:val="bottom"/>
          </w:tcPr>
          <w:p w:rsidR="006632F3" w:rsidRPr="00932F51" w:rsidRDefault="006632F3"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w:t>
            </w:r>
          </w:p>
        </w:tc>
        <w:tc>
          <w:tcPr>
            <w:tcW w:w="920" w:type="dxa"/>
            <w:tcBorders>
              <w:top w:val="single" w:sz="8" w:space="0" w:color="auto"/>
              <w:left w:val="single" w:sz="8" w:space="0" w:color="auto"/>
              <w:bottom w:val="single" w:sz="8" w:space="0" w:color="auto"/>
              <w:right w:val="single" w:sz="8" w:space="0" w:color="auto"/>
            </w:tcBorders>
            <w:noWrap/>
          </w:tcPr>
          <w:p w:rsidR="006632F3" w:rsidRPr="006632F3" w:rsidRDefault="006632F3" w:rsidP="006632F3">
            <w:pPr>
              <w:spacing w:after="0"/>
              <w:jc w:val="right"/>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19,5</w:t>
            </w:r>
          </w:p>
        </w:tc>
        <w:tc>
          <w:tcPr>
            <w:tcW w:w="920" w:type="dxa"/>
            <w:tcBorders>
              <w:top w:val="single" w:sz="8" w:space="0" w:color="auto"/>
              <w:left w:val="single" w:sz="8" w:space="0" w:color="auto"/>
              <w:bottom w:val="single" w:sz="8" w:space="0" w:color="auto"/>
              <w:right w:val="single" w:sz="8" w:space="0" w:color="auto"/>
            </w:tcBorders>
          </w:tcPr>
          <w:p w:rsidR="006632F3" w:rsidRPr="006632F3" w:rsidRDefault="006632F3" w:rsidP="006632F3">
            <w:pPr>
              <w:spacing w:after="0"/>
              <w:jc w:val="right"/>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18,9</w:t>
            </w:r>
          </w:p>
        </w:tc>
      </w:tr>
      <w:bookmarkEnd w:id="2"/>
      <w:bookmarkEnd w:id="3"/>
      <w:tr w:rsidR="006632F3" w:rsidRPr="00932F51" w:rsidTr="00EC7BD2">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6632F3" w:rsidRPr="00932F51" w:rsidRDefault="006632F3" w:rsidP="007E0C77">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Gelirler (Milyon TL)</w:t>
            </w:r>
          </w:p>
        </w:tc>
        <w:tc>
          <w:tcPr>
            <w:tcW w:w="992" w:type="dxa"/>
            <w:tcBorders>
              <w:top w:val="single" w:sz="8" w:space="0" w:color="auto"/>
              <w:left w:val="single" w:sz="8" w:space="0" w:color="auto"/>
              <w:bottom w:val="single" w:sz="8" w:space="0" w:color="auto"/>
              <w:right w:val="single" w:sz="8" w:space="0" w:color="auto"/>
            </w:tcBorders>
            <w:noWrap/>
            <w:vAlign w:val="bottom"/>
          </w:tcPr>
          <w:p w:rsidR="006632F3" w:rsidRPr="00932F51" w:rsidRDefault="006632F3" w:rsidP="006E07AE">
            <w:pPr>
              <w:spacing w:after="0"/>
              <w:jc w:val="right"/>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671.926</w:t>
            </w:r>
          </w:p>
        </w:tc>
        <w:tc>
          <w:tcPr>
            <w:tcW w:w="920" w:type="dxa"/>
            <w:tcBorders>
              <w:top w:val="single" w:sz="8" w:space="0" w:color="auto"/>
              <w:left w:val="single" w:sz="8" w:space="0" w:color="auto"/>
              <w:bottom w:val="single" w:sz="8" w:space="0" w:color="auto"/>
              <w:right w:val="single" w:sz="8" w:space="0" w:color="auto"/>
            </w:tcBorders>
            <w:noWrap/>
          </w:tcPr>
          <w:p w:rsidR="006632F3" w:rsidRPr="006632F3" w:rsidRDefault="006632F3" w:rsidP="006632F3">
            <w:pPr>
              <w:spacing w:after="0"/>
              <w:jc w:val="right"/>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744.678</w:t>
            </w:r>
          </w:p>
        </w:tc>
        <w:tc>
          <w:tcPr>
            <w:tcW w:w="920" w:type="dxa"/>
            <w:tcBorders>
              <w:top w:val="single" w:sz="8" w:space="0" w:color="auto"/>
              <w:left w:val="single" w:sz="8" w:space="0" w:color="auto"/>
              <w:bottom w:val="single" w:sz="8" w:space="0" w:color="auto"/>
              <w:right w:val="single" w:sz="8" w:space="0" w:color="auto"/>
            </w:tcBorders>
          </w:tcPr>
          <w:p w:rsidR="006632F3" w:rsidRPr="006632F3" w:rsidRDefault="006632F3" w:rsidP="006632F3">
            <w:pPr>
              <w:spacing w:after="0"/>
              <w:jc w:val="right"/>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820.720</w:t>
            </w:r>
          </w:p>
        </w:tc>
      </w:tr>
      <w:bookmarkEnd w:id="4"/>
      <w:tr w:rsidR="006632F3" w:rsidRPr="00932F51" w:rsidTr="00CC7268">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6632F3" w:rsidRPr="00932F51" w:rsidRDefault="006632F3" w:rsidP="00220155">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Gelirler /GSYH (%)</w:t>
            </w:r>
          </w:p>
        </w:tc>
        <w:tc>
          <w:tcPr>
            <w:tcW w:w="992" w:type="dxa"/>
            <w:tcBorders>
              <w:top w:val="single" w:sz="8" w:space="0" w:color="auto"/>
              <w:left w:val="single" w:sz="8" w:space="0" w:color="auto"/>
              <w:bottom w:val="single" w:sz="8" w:space="0" w:color="auto"/>
              <w:right w:val="single" w:sz="8" w:space="0" w:color="auto"/>
            </w:tcBorders>
            <w:noWrap/>
            <w:vAlign w:val="bottom"/>
          </w:tcPr>
          <w:p w:rsidR="006632F3" w:rsidRPr="00932F51" w:rsidRDefault="006632F3" w:rsidP="00933401">
            <w:pPr>
              <w:spacing w:after="0"/>
              <w:jc w:val="right"/>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19,5</w:t>
            </w:r>
          </w:p>
        </w:tc>
        <w:tc>
          <w:tcPr>
            <w:tcW w:w="920" w:type="dxa"/>
            <w:tcBorders>
              <w:top w:val="single" w:sz="8" w:space="0" w:color="auto"/>
              <w:left w:val="single" w:sz="8" w:space="0" w:color="auto"/>
              <w:bottom w:val="single" w:sz="8" w:space="0" w:color="auto"/>
              <w:right w:val="single" w:sz="8" w:space="0" w:color="auto"/>
            </w:tcBorders>
            <w:noWrap/>
          </w:tcPr>
          <w:p w:rsidR="006632F3" w:rsidRPr="006632F3" w:rsidRDefault="006632F3" w:rsidP="006632F3">
            <w:pPr>
              <w:spacing w:after="0"/>
              <w:jc w:val="right"/>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19,2</w:t>
            </w:r>
          </w:p>
        </w:tc>
        <w:tc>
          <w:tcPr>
            <w:tcW w:w="920" w:type="dxa"/>
            <w:tcBorders>
              <w:top w:val="single" w:sz="8" w:space="0" w:color="auto"/>
              <w:left w:val="single" w:sz="8" w:space="0" w:color="auto"/>
              <w:bottom w:val="single" w:sz="8" w:space="0" w:color="auto"/>
              <w:right w:val="single" w:sz="8" w:space="0" w:color="auto"/>
            </w:tcBorders>
          </w:tcPr>
          <w:p w:rsidR="006632F3" w:rsidRPr="006632F3" w:rsidRDefault="006632F3" w:rsidP="006632F3">
            <w:pPr>
              <w:spacing w:after="0"/>
              <w:jc w:val="right"/>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19,0</w:t>
            </w:r>
          </w:p>
        </w:tc>
      </w:tr>
      <w:tr w:rsidR="004C49DD" w:rsidRPr="00932F51" w:rsidTr="00E46B2C">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4C49DD" w:rsidRPr="00D416B1" w:rsidRDefault="004C49DD" w:rsidP="00220155">
            <w:pPr>
              <w:spacing w:after="0"/>
              <w:rPr>
                <w:rFonts w:ascii="Times New Roman" w:eastAsia="Times New Roman" w:hAnsi="Times New Roman" w:cs="Times New Roman"/>
                <w:sz w:val="24"/>
                <w:szCs w:val="24"/>
                <w:lang w:eastAsia="tr-TR"/>
              </w:rPr>
            </w:pPr>
            <w:r w:rsidRPr="00D416B1">
              <w:rPr>
                <w:rFonts w:ascii="Times New Roman" w:eastAsia="Times New Roman" w:hAnsi="Times New Roman" w:cs="Times New Roman"/>
                <w:sz w:val="24"/>
                <w:szCs w:val="24"/>
                <w:lang w:eastAsia="tr-TR"/>
              </w:rPr>
              <w:t xml:space="preserve">Faiz Dışı </w:t>
            </w:r>
            <w:r w:rsidR="000D7143">
              <w:rPr>
                <w:rFonts w:ascii="Times New Roman" w:eastAsia="Times New Roman" w:hAnsi="Times New Roman" w:cs="Times New Roman"/>
                <w:sz w:val="24"/>
                <w:szCs w:val="24"/>
                <w:lang w:eastAsia="tr-TR"/>
              </w:rPr>
              <w:t xml:space="preserve">Denge </w:t>
            </w:r>
            <w:r w:rsidRPr="00D416B1">
              <w:rPr>
                <w:rFonts w:ascii="Times New Roman" w:eastAsia="Times New Roman" w:hAnsi="Times New Roman" w:cs="Times New Roman"/>
                <w:sz w:val="24"/>
                <w:szCs w:val="24"/>
                <w:lang w:eastAsia="tr-TR"/>
              </w:rPr>
              <w:t xml:space="preserve">(Milyon TL) </w:t>
            </w:r>
          </w:p>
        </w:tc>
        <w:tc>
          <w:tcPr>
            <w:tcW w:w="992" w:type="dxa"/>
            <w:tcBorders>
              <w:top w:val="single" w:sz="8" w:space="0" w:color="auto"/>
              <w:left w:val="single" w:sz="8" w:space="0" w:color="auto"/>
              <w:bottom w:val="single" w:sz="8" w:space="0" w:color="auto"/>
              <w:right w:val="single" w:sz="8" w:space="0" w:color="auto"/>
            </w:tcBorders>
            <w:noWrap/>
            <w:vAlign w:val="center"/>
          </w:tcPr>
          <w:p w:rsidR="004C49DD" w:rsidRPr="00932F51" w:rsidRDefault="004C49DD" w:rsidP="00D416B1">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-19.118</w:t>
            </w:r>
          </w:p>
        </w:tc>
        <w:tc>
          <w:tcPr>
            <w:tcW w:w="920" w:type="dxa"/>
            <w:tcBorders>
              <w:top w:val="single" w:sz="8" w:space="0" w:color="auto"/>
              <w:left w:val="single" w:sz="8" w:space="0" w:color="auto"/>
              <w:bottom w:val="single" w:sz="8" w:space="0" w:color="auto"/>
              <w:right w:val="single" w:sz="8" w:space="0" w:color="auto"/>
            </w:tcBorders>
            <w:noWrap/>
            <w:vAlign w:val="center"/>
          </w:tcPr>
          <w:p w:rsidR="004C49DD" w:rsidRPr="004C49DD" w:rsidRDefault="004C49DD" w:rsidP="00D416B1">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-8.812</w:t>
            </w:r>
          </w:p>
        </w:tc>
        <w:tc>
          <w:tcPr>
            <w:tcW w:w="920" w:type="dxa"/>
            <w:tcBorders>
              <w:top w:val="single" w:sz="8" w:space="0" w:color="auto"/>
              <w:left w:val="single" w:sz="8" w:space="0" w:color="auto"/>
              <w:bottom w:val="single" w:sz="8" w:space="0" w:color="auto"/>
              <w:right w:val="single" w:sz="8" w:space="0" w:color="auto"/>
            </w:tcBorders>
            <w:vAlign w:val="center"/>
          </w:tcPr>
          <w:p w:rsidR="004C49DD" w:rsidRPr="004C49DD" w:rsidRDefault="004C49DD" w:rsidP="00D416B1">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3.845</w:t>
            </w:r>
          </w:p>
        </w:tc>
      </w:tr>
      <w:tr w:rsidR="006632F3" w:rsidRPr="00932F51" w:rsidTr="00E46B2C">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6632F3" w:rsidRPr="00D416B1" w:rsidRDefault="006632F3" w:rsidP="00220155">
            <w:pPr>
              <w:spacing w:after="0"/>
              <w:rPr>
                <w:rFonts w:ascii="Times New Roman" w:eastAsia="Times New Roman" w:hAnsi="Times New Roman" w:cs="Times New Roman"/>
                <w:sz w:val="24"/>
                <w:szCs w:val="24"/>
                <w:lang w:eastAsia="tr-TR"/>
              </w:rPr>
            </w:pPr>
            <w:r w:rsidRPr="00D416B1">
              <w:rPr>
                <w:rFonts w:ascii="Times New Roman" w:eastAsia="Times New Roman" w:hAnsi="Times New Roman" w:cs="Times New Roman"/>
                <w:sz w:val="24"/>
                <w:szCs w:val="24"/>
                <w:lang w:eastAsia="tr-TR"/>
              </w:rPr>
              <w:t xml:space="preserve">Faiz Dışı </w:t>
            </w:r>
            <w:r w:rsidR="00E46B2C" w:rsidRPr="00D416B1">
              <w:rPr>
                <w:rFonts w:ascii="Times New Roman" w:eastAsia="Times New Roman" w:hAnsi="Times New Roman" w:cs="Times New Roman"/>
                <w:sz w:val="24"/>
                <w:szCs w:val="24"/>
                <w:lang w:eastAsia="tr-TR"/>
              </w:rPr>
              <w:t>Denge</w:t>
            </w:r>
            <w:r w:rsidR="002D1F1A">
              <w:rPr>
                <w:rFonts w:ascii="Times New Roman" w:eastAsia="Times New Roman" w:hAnsi="Times New Roman" w:cs="Times New Roman"/>
                <w:sz w:val="24"/>
                <w:szCs w:val="24"/>
                <w:lang w:eastAsia="tr-TR"/>
              </w:rPr>
              <w:t xml:space="preserve"> </w:t>
            </w:r>
            <w:r w:rsidRPr="00D416B1">
              <w:rPr>
                <w:rFonts w:ascii="Times New Roman" w:eastAsia="Times New Roman" w:hAnsi="Times New Roman" w:cs="Times New Roman"/>
                <w:sz w:val="24"/>
                <w:szCs w:val="24"/>
                <w:lang w:eastAsia="tr-TR"/>
              </w:rPr>
              <w:t>/ GSYH (%)</w:t>
            </w:r>
          </w:p>
        </w:tc>
        <w:tc>
          <w:tcPr>
            <w:tcW w:w="992" w:type="dxa"/>
            <w:tcBorders>
              <w:top w:val="single" w:sz="8" w:space="0" w:color="auto"/>
              <w:left w:val="single" w:sz="8" w:space="0" w:color="auto"/>
              <w:bottom w:val="single" w:sz="8" w:space="0" w:color="auto"/>
              <w:right w:val="single" w:sz="8" w:space="0" w:color="auto"/>
            </w:tcBorders>
            <w:noWrap/>
            <w:vAlign w:val="center"/>
          </w:tcPr>
          <w:p w:rsidR="006632F3" w:rsidRPr="00932F51" w:rsidRDefault="006632F3" w:rsidP="00D416B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-0,6</w:t>
            </w:r>
          </w:p>
        </w:tc>
        <w:tc>
          <w:tcPr>
            <w:tcW w:w="920" w:type="dxa"/>
            <w:tcBorders>
              <w:top w:val="single" w:sz="8" w:space="0" w:color="auto"/>
              <w:left w:val="single" w:sz="8" w:space="0" w:color="auto"/>
              <w:bottom w:val="single" w:sz="8" w:space="0" w:color="auto"/>
              <w:right w:val="single" w:sz="8" w:space="0" w:color="auto"/>
            </w:tcBorders>
            <w:noWrap/>
            <w:vAlign w:val="center"/>
          </w:tcPr>
          <w:p w:rsidR="006632F3" w:rsidRPr="006632F3" w:rsidRDefault="006632F3" w:rsidP="00D416B1">
            <w:pPr>
              <w:spacing w:after="0"/>
              <w:jc w:val="right"/>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-0,2</w:t>
            </w:r>
          </w:p>
        </w:tc>
        <w:tc>
          <w:tcPr>
            <w:tcW w:w="920" w:type="dxa"/>
            <w:tcBorders>
              <w:top w:val="single" w:sz="8" w:space="0" w:color="auto"/>
              <w:left w:val="single" w:sz="8" w:space="0" w:color="auto"/>
              <w:bottom w:val="single" w:sz="8" w:space="0" w:color="auto"/>
              <w:right w:val="single" w:sz="8" w:space="0" w:color="auto"/>
            </w:tcBorders>
            <w:vAlign w:val="center"/>
          </w:tcPr>
          <w:p w:rsidR="006632F3" w:rsidRPr="006632F3" w:rsidRDefault="006632F3" w:rsidP="00D416B1">
            <w:pPr>
              <w:spacing w:after="0"/>
              <w:jc w:val="right"/>
              <w:rPr>
                <w:rFonts w:ascii="Times New Roman" w:eastAsia="Times New Roman" w:hAnsi="Times New Roman" w:cs="Times New Roman"/>
                <w:sz w:val="24"/>
                <w:szCs w:val="24"/>
                <w:lang w:eastAsia="tr-TR"/>
              </w:rPr>
            </w:pPr>
            <w:r w:rsidRPr="006632F3">
              <w:rPr>
                <w:rFonts w:ascii="Times New Roman" w:eastAsia="Times New Roman" w:hAnsi="Times New Roman" w:cs="Times New Roman"/>
                <w:sz w:val="24"/>
                <w:szCs w:val="24"/>
                <w:lang w:eastAsia="tr-TR"/>
              </w:rPr>
              <w:t>0,1</w:t>
            </w:r>
          </w:p>
        </w:tc>
      </w:tr>
    </w:tbl>
    <w:p w:rsidR="002D5A7B" w:rsidRPr="00932F51" w:rsidRDefault="002D5A7B" w:rsidP="00B26F10">
      <w:pPr>
        <w:tabs>
          <w:tab w:val="left" w:pos="180"/>
        </w:tabs>
        <w:spacing w:before="240" w:after="120"/>
        <w:ind w:left="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Giderleri</w:t>
      </w:r>
    </w:p>
    <w:p w:rsidR="002D5A7B" w:rsidRPr="006632F3" w:rsidRDefault="00D61DB7"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w:t>
      </w:r>
      <w:r w:rsidR="003F7DA1">
        <w:rPr>
          <w:rFonts w:ascii="Times New Roman" w:eastAsia="Times New Roman" w:hAnsi="Times New Roman" w:cs="Times New Roman"/>
          <w:sz w:val="24"/>
          <w:szCs w:val="24"/>
          <w:lang w:eastAsia="tr-TR"/>
        </w:rPr>
        <w:t xml:space="preserve">. </w:t>
      </w:r>
      <w:r w:rsidR="002D5A7B" w:rsidRPr="006632F3">
        <w:rPr>
          <w:rFonts w:ascii="Times New Roman" w:eastAsia="Times New Roman" w:hAnsi="Times New Roman" w:cs="Times New Roman"/>
          <w:sz w:val="24"/>
          <w:szCs w:val="24"/>
          <w:lang w:eastAsia="tr-TR"/>
        </w:rPr>
        <w:t>201</w:t>
      </w:r>
      <w:r w:rsidR="00407FE9" w:rsidRPr="006632F3">
        <w:rPr>
          <w:rFonts w:ascii="Times New Roman" w:eastAsia="Times New Roman" w:hAnsi="Times New Roman" w:cs="Times New Roman"/>
          <w:sz w:val="24"/>
          <w:szCs w:val="24"/>
          <w:lang w:eastAsia="tr-TR"/>
        </w:rPr>
        <w:t>8</w:t>
      </w:r>
      <w:r w:rsidR="002D5A7B" w:rsidRPr="006632F3">
        <w:rPr>
          <w:rFonts w:ascii="Times New Roman" w:eastAsia="Times New Roman" w:hAnsi="Times New Roman" w:cs="Times New Roman"/>
          <w:sz w:val="24"/>
          <w:szCs w:val="24"/>
          <w:lang w:eastAsia="tr-TR"/>
        </w:rPr>
        <w:t>-20</w:t>
      </w:r>
      <w:r w:rsidR="00407FE9" w:rsidRPr="006632F3">
        <w:rPr>
          <w:rFonts w:ascii="Times New Roman" w:eastAsia="Times New Roman" w:hAnsi="Times New Roman" w:cs="Times New Roman"/>
          <w:sz w:val="24"/>
          <w:szCs w:val="24"/>
          <w:lang w:eastAsia="tr-TR"/>
        </w:rPr>
        <w:t>20</w:t>
      </w:r>
      <w:r w:rsidR="002D5A7B" w:rsidRPr="006632F3">
        <w:rPr>
          <w:rFonts w:ascii="Times New Roman" w:eastAsia="Times New Roman" w:hAnsi="Times New Roman" w:cs="Times New Roman"/>
          <w:sz w:val="24"/>
          <w:szCs w:val="24"/>
          <w:lang w:eastAsia="tr-TR"/>
        </w:rPr>
        <w:t xml:space="preserve"> döneminde merkezi yönetim bütçe giderleri; makroekonomik göstergeler, temel politika belgelerinde ortaya konulan öncelikler ve kamu idarelerinin ihtiyaçları esas alınar</w:t>
      </w:r>
      <w:r w:rsidR="00E452F2" w:rsidRPr="006632F3">
        <w:rPr>
          <w:rFonts w:ascii="Times New Roman" w:eastAsia="Times New Roman" w:hAnsi="Times New Roman" w:cs="Times New Roman"/>
          <w:sz w:val="24"/>
          <w:szCs w:val="24"/>
          <w:lang w:eastAsia="tr-TR"/>
        </w:rPr>
        <w:t>ak belirlenmiştir. Bu çerçevede</w:t>
      </w:r>
      <w:r w:rsidR="002D5A7B" w:rsidRPr="006632F3">
        <w:rPr>
          <w:rFonts w:ascii="Times New Roman" w:eastAsia="Times New Roman" w:hAnsi="Times New Roman" w:cs="Times New Roman"/>
          <w:sz w:val="24"/>
          <w:szCs w:val="24"/>
          <w:lang w:eastAsia="tr-TR"/>
        </w:rPr>
        <w:t xml:space="preserve"> bütçe giderlerinin ekonomik tasnif bazında belirlenmesinde kullanılan ve öne çıkan temel unsurlar aşağıda belirtilmiştir.</w:t>
      </w:r>
    </w:p>
    <w:p w:rsidR="00654A46" w:rsidRPr="006731CB" w:rsidRDefault="00D61DB7" w:rsidP="00654A46">
      <w:pPr>
        <w:spacing w:after="120"/>
        <w:ind w:firstLine="567"/>
        <w:jc w:val="both"/>
        <w:rPr>
          <w:rFonts w:ascii="Times New Roman" w:hAnsi="Times New Roman"/>
          <w:sz w:val="24"/>
          <w:szCs w:val="24"/>
        </w:rPr>
      </w:pPr>
      <w:proofErr w:type="gramStart"/>
      <w:r>
        <w:rPr>
          <w:rFonts w:ascii="Times New Roman" w:eastAsia="Times New Roman" w:hAnsi="Times New Roman" w:cs="Times New Roman"/>
          <w:sz w:val="24"/>
          <w:szCs w:val="24"/>
          <w:lang w:eastAsia="tr-TR"/>
        </w:rPr>
        <w:t>51</w:t>
      </w:r>
      <w:r w:rsidR="003F7DA1">
        <w:rPr>
          <w:rFonts w:ascii="Times New Roman" w:eastAsia="Times New Roman" w:hAnsi="Times New Roman" w:cs="Times New Roman"/>
          <w:sz w:val="24"/>
          <w:szCs w:val="24"/>
          <w:lang w:eastAsia="tr-TR"/>
        </w:rPr>
        <w:t xml:space="preserve">. </w:t>
      </w:r>
      <w:r w:rsidR="002D5A7B" w:rsidRPr="006632F3">
        <w:rPr>
          <w:rFonts w:ascii="Times New Roman" w:eastAsia="Times New Roman" w:hAnsi="Times New Roman" w:cs="Times New Roman"/>
          <w:sz w:val="24"/>
          <w:szCs w:val="24"/>
          <w:lang w:eastAsia="tr-TR"/>
        </w:rPr>
        <w:t xml:space="preserve">Personel giderlerine ilişkin ödeneklerin belirlenmesinde, </w:t>
      </w:r>
      <w:r w:rsidR="00F937EA" w:rsidRPr="006632F3">
        <w:rPr>
          <w:rFonts w:ascii="Times New Roman" w:eastAsia="Times New Roman" w:hAnsi="Times New Roman" w:cs="Times New Roman"/>
          <w:sz w:val="24"/>
          <w:szCs w:val="24"/>
          <w:lang w:eastAsia="tr-TR"/>
        </w:rPr>
        <w:t>201</w:t>
      </w:r>
      <w:r w:rsidR="00325B6D" w:rsidRPr="006632F3">
        <w:rPr>
          <w:rFonts w:ascii="Times New Roman" w:eastAsia="Times New Roman" w:hAnsi="Times New Roman" w:cs="Times New Roman"/>
          <w:sz w:val="24"/>
          <w:szCs w:val="24"/>
          <w:lang w:eastAsia="tr-TR"/>
        </w:rPr>
        <w:t>7</w:t>
      </w:r>
      <w:r w:rsidR="00F937EA" w:rsidRPr="006632F3">
        <w:rPr>
          <w:rFonts w:ascii="Times New Roman" w:eastAsia="Times New Roman" w:hAnsi="Times New Roman" w:cs="Times New Roman"/>
          <w:sz w:val="24"/>
          <w:szCs w:val="24"/>
          <w:lang w:eastAsia="tr-TR"/>
        </w:rPr>
        <w:t xml:space="preserve"> </w:t>
      </w:r>
      <w:r w:rsidR="002D5A7B" w:rsidRPr="006632F3">
        <w:rPr>
          <w:rFonts w:ascii="Times New Roman" w:eastAsia="Times New Roman" w:hAnsi="Times New Roman" w:cs="Times New Roman"/>
          <w:sz w:val="24"/>
          <w:szCs w:val="24"/>
          <w:lang w:eastAsia="tr-TR"/>
        </w:rPr>
        <w:t xml:space="preserve">yılında yapılan toplu sözleşme görüşmeleri sonrası imzalanan Kamu Görevlilerinin Geneline ve Hizmet Kollarına Yönelik Mali ve Sosyal Haklara İlişkin </w:t>
      </w:r>
      <w:r w:rsidR="00F937EA" w:rsidRPr="006632F3">
        <w:rPr>
          <w:rFonts w:ascii="Times New Roman" w:eastAsia="Times New Roman" w:hAnsi="Times New Roman" w:cs="Times New Roman"/>
          <w:sz w:val="24"/>
          <w:szCs w:val="24"/>
          <w:lang w:eastAsia="tr-TR"/>
        </w:rPr>
        <w:t>201</w:t>
      </w:r>
      <w:r w:rsidR="00325B6D" w:rsidRPr="006632F3">
        <w:rPr>
          <w:rFonts w:ascii="Times New Roman" w:eastAsia="Times New Roman" w:hAnsi="Times New Roman" w:cs="Times New Roman"/>
          <w:sz w:val="24"/>
          <w:szCs w:val="24"/>
          <w:lang w:eastAsia="tr-TR"/>
        </w:rPr>
        <w:t>8</w:t>
      </w:r>
      <w:r w:rsidR="00F937EA" w:rsidRPr="006632F3">
        <w:rPr>
          <w:rFonts w:ascii="Times New Roman" w:eastAsia="Times New Roman" w:hAnsi="Times New Roman" w:cs="Times New Roman"/>
          <w:sz w:val="24"/>
          <w:szCs w:val="24"/>
          <w:lang w:eastAsia="tr-TR"/>
        </w:rPr>
        <w:t xml:space="preserve"> </w:t>
      </w:r>
      <w:r w:rsidR="002D5A7B" w:rsidRPr="006632F3">
        <w:rPr>
          <w:rFonts w:ascii="Times New Roman" w:eastAsia="Times New Roman" w:hAnsi="Times New Roman" w:cs="Times New Roman"/>
          <w:sz w:val="24"/>
          <w:szCs w:val="24"/>
          <w:lang w:eastAsia="tr-TR"/>
        </w:rPr>
        <w:t xml:space="preserve">ve </w:t>
      </w:r>
      <w:r w:rsidR="00F937EA" w:rsidRPr="006632F3">
        <w:rPr>
          <w:rFonts w:ascii="Times New Roman" w:eastAsia="Times New Roman" w:hAnsi="Times New Roman" w:cs="Times New Roman"/>
          <w:sz w:val="24"/>
          <w:szCs w:val="24"/>
          <w:lang w:eastAsia="tr-TR"/>
        </w:rPr>
        <w:t>201</w:t>
      </w:r>
      <w:r w:rsidR="00325B6D" w:rsidRPr="006632F3">
        <w:rPr>
          <w:rFonts w:ascii="Times New Roman" w:eastAsia="Times New Roman" w:hAnsi="Times New Roman" w:cs="Times New Roman"/>
          <w:sz w:val="24"/>
          <w:szCs w:val="24"/>
          <w:lang w:eastAsia="tr-TR"/>
        </w:rPr>
        <w:t>9</w:t>
      </w:r>
      <w:r w:rsidR="00F937EA" w:rsidRPr="006632F3">
        <w:rPr>
          <w:rFonts w:ascii="Times New Roman" w:eastAsia="Times New Roman" w:hAnsi="Times New Roman" w:cs="Times New Roman"/>
          <w:sz w:val="24"/>
          <w:szCs w:val="24"/>
          <w:lang w:eastAsia="tr-TR"/>
        </w:rPr>
        <w:t xml:space="preserve"> </w:t>
      </w:r>
      <w:r w:rsidR="00997408" w:rsidRPr="006632F3">
        <w:rPr>
          <w:rFonts w:ascii="Times New Roman" w:eastAsia="Times New Roman" w:hAnsi="Times New Roman" w:cs="Times New Roman"/>
          <w:sz w:val="24"/>
          <w:szCs w:val="24"/>
          <w:lang w:eastAsia="tr-TR"/>
        </w:rPr>
        <w:t>Yıllarını Kapsayan</w:t>
      </w:r>
      <w:r w:rsidR="002D5A7B" w:rsidRPr="006632F3">
        <w:rPr>
          <w:rFonts w:ascii="Times New Roman" w:eastAsia="Times New Roman" w:hAnsi="Times New Roman" w:cs="Times New Roman"/>
          <w:sz w:val="24"/>
          <w:szCs w:val="24"/>
          <w:lang w:eastAsia="tr-TR"/>
        </w:rPr>
        <w:t xml:space="preserve"> </w:t>
      </w:r>
      <w:r w:rsidR="00325B6D" w:rsidRPr="006632F3">
        <w:rPr>
          <w:rFonts w:ascii="Times New Roman" w:eastAsia="Times New Roman" w:hAnsi="Times New Roman" w:cs="Times New Roman"/>
          <w:sz w:val="24"/>
          <w:szCs w:val="24"/>
          <w:lang w:eastAsia="tr-TR"/>
        </w:rPr>
        <w:t>4</w:t>
      </w:r>
      <w:r w:rsidR="008A0D76" w:rsidRPr="006632F3">
        <w:rPr>
          <w:rFonts w:ascii="Times New Roman" w:eastAsia="Times New Roman" w:hAnsi="Times New Roman" w:cs="Times New Roman"/>
          <w:sz w:val="24"/>
          <w:szCs w:val="24"/>
          <w:lang w:eastAsia="tr-TR"/>
        </w:rPr>
        <w:t xml:space="preserve">. </w:t>
      </w:r>
      <w:r w:rsidR="002D5A7B" w:rsidRPr="006632F3">
        <w:rPr>
          <w:rFonts w:ascii="Times New Roman" w:eastAsia="Times New Roman" w:hAnsi="Times New Roman" w:cs="Times New Roman"/>
          <w:sz w:val="24"/>
          <w:szCs w:val="24"/>
          <w:lang w:eastAsia="tr-TR"/>
        </w:rPr>
        <w:t>Dönem Toplu Sözleşme</w:t>
      </w:r>
      <w:r w:rsidR="008A0D76" w:rsidRPr="006632F3">
        <w:rPr>
          <w:rFonts w:ascii="Times New Roman" w:eastAsia="Times New Roman" w:hAnsi="Times New Roman" w:cs="Times New Roman"/>
          <w:sz w:val="24"/>
          <w:szCs w:val="24"/>
          <w:lang w:eastAsia="tr-TR"/>
        </w:rPr>
        <w:t>yle</w:t>
      </w:r>
      <w:r w:rsidR="002D5A7B" w:rsidRPr="006632F3">
        <w:rPr>
          <w:rFonts w:ascii="Times New Roman" w:eastAsia="Times New Roman" w:hAnsi="Times New Roman" w:cs="Times New Roman"/>
          <w:sz w:val="24"/>
          <w:szCs w:val="24"/>
          <w:lang w:eastAsia="tr-TR"/>
        </w:rPr>
        <w:t xml:space="preserve"> kamu görevlilerinin mali ve sosyal haklarında </w:t>
      </w:r>
      <w:r w:rsidR="00D2787C" w:rsidRPr="006632F3">
        <w:rPr>
          <w:rFonts w:ascii="Times New Roman" w:eastAsia="Times New Roman" w:hAnsi="Times New Roman" w:cs="Times New Roman"/>
          <w:sz w:val="24"/>
          <w:szCs w:val="24"/>
          <w:lang w:eastAsia="tr-TR"/>
        </w:rPr>
        <w:t xml:space="preserve">yapılan </w:t>
      </w:r>
      <w:r w:rsidR="002D5A7B" w:rsidRPr="006632F3">
        <w:rPr>
          <w:rFonts w:ascii="Times New Roman" w:eastAsia="Times New Roman" w:hAnsi="Times New Roman" w:cs="Times New Roman"/>
          <w:sz w:val="24"/>
          <w:szCs w:val="24"/>
          <w:lang w:eastAsia="tr-TR"/>
        </w:rPr>
        <w:t>artışlar,</w:t>
      </w:r>
      <w:r w:rsidR="00D2787C" w:rsidRPr="006632F3">
        <w:rPr>
          <w:rFonts w:ascii="Times New Roman" w:eastAsia="Times New Roman" w:hAnsi="Times New Roman" w:cs="Times New Roman"/>
          <w:sz w:val="24"/>
          <w:szCs w:val="24"/>
          <w:lang w:eastAsia="tr-TR"/>
        </w:rPr>
        <w:t xml:space="preserve"> </w:t>
      </w:r>
      <w:r w:rsidR="002D5A7B" w:rsidRPr="006632F3">
        <w:rPr>
          <w:rFonts w:ascii="Times New Roman" w:eastAsia="Times New Roman" w:hAnsi="Times New Roman" w:cs="Times New Roman"/>
          <w:sz w:val="24"/>
          <w:szCs w:val="24"/>
          <w:lang w:eastAsia="tr-TR"/>
        </w:rPr>
        <w:t>enflasyon hedefleri</w:t>
      </w:r>
      <w:r w:rsidR="003027F9">
        <w:rPr>
          <w:rFonts w:ascii="Times New Roman" w:eastAsia="Times New Roman" w:hAnsi="Times New Roman" w:cs="Times New Roman"/>
          <w:sz w:val="24"/>
          <w:szCs w:val="24"/>
          <w:lang w:eastAsia="tr-TR"/>
        </w:rPr>
        <w:t xml:space="preserve">, </w:t>
      </w:r>
      <w:r w:rsidR="00281CCF" w:rsidRPr="006632F3">
        <w:rPr>
          <w:rFonts w:ascii="Times New Roman" w:eastAsia="Calibri" w:hAnsi="Times New Roman" w:cs="Times New Roman"/>
          <w:sz w:val="24"/>
          <w:szCs w:val="24"/>
        </w:rPr>
        <w:t>olağanüstü hal kapsamında kamudan ihraç edilen personel sayısı</w:t>
      </w:r>
      <w:r w:rsidR="0035758D" w:rsidRPr="006632F3">
        <w:rPr>
          <w:rFonts w:ascii="Times New Roman" w:eastAsia="Calibri" w:hAnsi="Times New Roman" w:cs="Times New Roman"/>
          <w:sz w:val="24"/>
          <w:szCs w:val="24"/>
        </w:rPr>
        <w:t xml:space="preserve"> </w:t>
      </w:r>
      <w:r w:rsidR="0035758D" w:rsidRPr="006632F3">
        <w:rPr>
          <w:rFonts w:ascii="Times New Roman" w:eastAsia="Times New Roman" w:hAnsi="Times New Roman" w:cs="Times New Roman"/>
          <w:sz w:val="24"/>
          <w:szCs w:val="24"/>
          <w:lang w:eastAsia="tr-TR"/>
        </w:rPr>
        <w:t>ile</w:t>
      </w:r>
      <w:r w:rsidR="002D5A7B" w:rsidRPr="006632F3">
        <w:rPr>
          <w:rFonts w:ascii="Times New Roman" w:eastAsia="Times New Roman" w:hAnsi="Times New Roman" w:cs="Times New Roman"/>
          <w:sz w:val="24"/>
          <w:szCs w:val="24"/>
          <w:lang w:eastAsia="tr-TR"/>
        </w:rPr>
        <w:t xml:space="preserve"> kamuda istihdam edilecek yeni personel sayısı dikkate alınmıştır. </w:t>
      </w:r>
      <w:proofErr w:type="gramEnd"/>
      <w:r w:rsidR="002D5A7B" w:rsidRPr="006632F3">
        <w:rPr>
          <w:rFonts w:ascii="Times New Roman" w:eastAsia="Times New Roman" w:hAnsi="Times New Roman" w:cs="Times New Roman"/>
          <w:sz w:val="24"/>
          <w:szCs w:val="24"/>
          <w:lang w:eastAsia="tr-TR"/>
        </w:rPr>
        <w:t>Ayrıca kamuda</w:t>
      </w:r>
      <w:r w:rsidR="003027F9">
        <w:rPr>
          <w:rFonts w:ascii="Times New Roman" w:eastAsia="Times New Roman" w:hAnsi="Times New Roman" w:cs="Times New Roman"/>
          <w:sz w:val="24"/>
          <w:szCs w:val="24"/>
          <w:lang w:eastAsia="tr-TR"/>
        </w:rPr>
        <w:t>,</w:t>
      </w:r>
      <w:r w:rsidR="002D5A7B" w:rsidRPr="006632F3">
        <w:rPr>
          <w:rFonts w:ascii="Times New Roman" w:eastAsia="Times New Roman" w:hAnsi="Times New Roman" w:cs="Times New Roman"/>
          <w:sz w:val="24"/>
          <w:szCs w:val="24"/>
          <w:lang w:eastAsia="tr-TR"/>
        </w:rPr>
        <w:t xml:space="preserve"> yeni personel istihdam edilmesi ile ilgili olarak merkezi yönetim bütçe kanunlarında sınırlamalar konulmaya </w:t>
      </w:r>
      <w:r w:rsidR="002D5A7B" w:rsidRPr="006731CB">
        <w:rPr>
          <w:rFonts w:ascii="Times New Roman" w:eastAsia="Times New Roman" w:hAnsi="Times New Roman" w:cs="Times New Roman"/>
          <w:sz w:val="24"/>
          <w:szCs w:val="24"/>
          <w:lang w:eastAsia="tr-TR"/>
        </w:rPr>
        <w:t>devam edileceği varsayılmıştır.</w:t>
      </w:r>
      <w:r w:rsidR="00654A46" w:rsidRPr="006731CB">
        <w:rPr>
          <w:rFonts w:ascii="Times New Roman" w:hAnsi="Times New Roman"/>
          <w:sz w:val="24"/>
          <w:szCs w:val="24"/>
        </w:rPr>
        <w:t xml:space="preserve"> </w:t>
      </w:r>
    </w:p>
    <w:p w:rsidR="002D5A7B" w:rsidRPr="006731CB" w:rsidRDefault="008E2424" w:rsidP="00933401">
      <w:pPr>
        <w:spacing w:after="120"/>
        <w:ind w:firstLine="567"/>
        <w:jc w:val="both"/>
        <w:rPr>
          <w:rFonts w:ascii="Times New Roman" w:hAnsi="Times New Roman"/>
          <w:sz w:val="24"/>
          <w:szCs w:val="24"/>
        </w:rPr>
      </w:pPr>
      <w:proofErr w:type="gramStart"/>
      <w:r w:rsidRPr="006731CB">
        <w:rPr>
          <w:rFonts w:ascii="Times New Roman" w:eastAsia="Times New Roman" w:hAnsi="Times New Roman" w:cs="Times New Roman"/>
          <w:sz w:val="24"/>
          <w:szCs w:val="24"/>
          <w:lang w:eastAsia="tr-TR"/>
        </w:rPr>
        <w:t>5</w:t>
      </w:r>
      <w:r w:rsidR="00D61DB7">
        <w:rPr>
          <w:rFonts w:ascii="Times New Roman" w:eastAsia="Times New Roman" w:hAnsi="Times New Roman" w:cs="Times New Roman"/>
          <w:sz w:val="24"/>
          <w:szCs w:val="24"/>
          <w:lang w:eastAsia="tr-TR"/>
        </w:rPr>
        <w:t>2</w:t>
      </w:r>
      <w:r w:rsidR="003F7DA1"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 xml:space="preserve">Mal ve hizmet alım giderlerinin belirlenmesinde, kamu idarelerinin </w:t>
      </w:r>
      <w:r w:rsidR="00E266BA" w:rsidRPr="006731CB">
        <w:rPr>
          <w:rFonts w:ascii="Times New Roman" w:eastAsia="Times New Roman" w:hAnsi="Times New Roman" w:cs="Times New Roman"/>
          <w:sz w:val="24"/>
          <w:szCs w:val="24"/>
          <w:lang w:eastAsia="tr-TR"/>
        </w:rPr>
        <w:t>engelli eğitimi, taşımalı eğitim, ücretsiz ders kitabı ve okul sütü, özel okul desteği,</w:t>
      </w:r>
      <w:r w:rsidR="005836C3" w:rsidRPr="006731CB">
        <w:rPr>
          <w:rFonts w:ascii="Times New Roman" w:eastAsia="Times New Roman" w:hAnsi="Times New Roman" w:cs="Times New Roman"/>
          <w:sz w:val="24"/>
          <w:szCs w:val="24"/>
          <w:lang w:eastAsia="tr-TR"/>
        </w:rPr>
        <w:t xml:space="preserve"> </w:t>
      </w:r>
      <w:r w:rsidR="00E266BA" w:rsidRPr="006731CB">
        <w:rPr>
          <w:rFonts w:ascii="Times New Roman" w:eastAsia="Times New Roman" w:hAnsi="Times New Roman" w:cs="Times New Roman"/>
          <w:sz w:val="24"/>
          <w:szCs w:val="24"/>
          <w:lang w:eastAsia="tr-TR"/>
        </w:rPr>
        <w:t>yükseköğrenim öğrencileri</w:t>
      </w:r>
      <w:r w:rsidR="002F0ABC" w:rsidRPr="006731CB">
        <w:rPr>
          <w:rFonts w:ascii="Times New Roman" w:eastAsia="Times New Roman" w:hAnsi="Times New Roman" w:cs="Times New Roman"/>
          <w:sz w:val="24"/>
          <w:szCs w:val="24"/>
          <w:lang w:eastAsia="tr-TR"/>
        </w:rPr>
        <w:t>ne</w:t>
      </w:r>
      <w:r w:rsidR="00E266BA" w:rsidRPr="006731CB">
        <w:rPr>
          <w:rFonts w:ascii="Times New Roman" w:eastAsia="Times New Roman" w:hAnsi="Times New Roman" w:cs="Times New Roman"/>
          <w:sz w:val="24"/>
          <w:szCs w:val="24"/>
          <w:lang w:eastAsia="tr-TR"/>
        </w:rPr>
        <w:t xml:space="preserve"> yurt temini, aile hekimliği, aşı alımları</w:t>
      </w:r>
      <w:r w:rsidR="00E00B68" w:rsidRPr="006731CB">
        <w:rPr>
          <w:rFonts w:ascii="Times New Roman" w:eastAsia="Times New Roman" w:hAnsi="Times New Roman" w:cs="Times New Roman"/>
          <w:sz w:val="24"/>
          <w:szCs w:val="24"/>
          <w:lang w:eastAsia="tr-TR"/>
        </w:rPr>
        <w:t xml:space="preserve">, sokak </w:t>
      </w:r>
      <w:r w:rsidR="001A5D63" w:rsidRPr="006731CB">
        <w:rPr>
          <w:rFonts w:ascii="Times New Roman" w:eastAsia="Times New Roman" w:hAnsi="Times New Roman" w:cs="Times New Roman"/>
          <w:sz w:val="24"/>
          <w:szCs w:val="24"/>
          <w:lang w:eastAsia="tr-TR"/>
        </w:rPr>
        <w:t>ve caddelerin aydınlatılması</w:t>
      </w:r>
      <w:r w:rsidR="00706F3F" w:rsidRPr="006731CB">
        <w:rPr>
          <w:rFonts w:ascii="Times New Roman" w:eastAsia="Times New Roman" w:hAnsi="Times New Roman" w:cs="Times New Roman"/>
          <w:sz w:val="24"/>
          <w:szCs w:val="24"/>
          <w:lang w:eastAsia="tr-TR"/>
        </w:rPr>
        <w:t>,</w:t>
      </w:r>
      <w:r w:rsidR="00E00B68" w:rsidRPr="006731CB">
        <w:rPr>
          <w:rFonts w:ascii="Times New Roman" w:eastAsia="Times New Roman" w:hAnsi="Times New Roman" w:cs="Times New Roman"/>
          <w:sz w:val="24"/>
          <w:szCs w:val="24"/>
          <w:lang w:eastAsia="tr-TR"/>
        </w:rPr>
        <w:t xml:space="preserve"> </w:t>
      </w:r>
      <w:r w:rsidR="00706F3F" w:rsidRPr="006731CB">
        <w:rPr>
          <w:rFonts w:ascii="Times New Roman" w:eastAsia="Times New Roman" w:hAnsi="Times New Roman" w:cs="Times New Roman"/>
          <w:sz w:val="24"/>
          <w:szCs w:val="24"/>
          <w:lang w:eastAsia="tr-TR"/>
        </w:rPr>
        <w:t xml:space="preserve">şehir hastanelerinin cari giderleri </w:t>
      </w:r>
      <w:r w:rsidR="00E266BA" w:rsidRPr="006731CB">
        <w:rPr>
          <w:rFonts w:ascii="Times New Roman" w:eastAsia="Times New Roman" w:hAnsi="Times New Roman" w:cs="Times New Roman"/>
          <w:sz w:val="24"/>
          <w:szCs w:val="24"/>
          <w:lang w:eastAsia="tr-TR"/>
        </w:rPr>
        <w:t xml:space="preserve">gibi mevcut programları ile </w:t>
      </w:r>
      <w:r w:rsidR="002D5A7B" w:rsidRPr="006731CB">
        <w:rPr>
          <w:rFonts w:ascii="Times New Roman" w:eastAsia="Times New Roman" w:hAnsi="Times New Roman" w:cs="Times New Roman"/>
          <w:sz w:val="24"/>
          <w:szCs w:val="24"/>
          <w:lang w:eastAsia="tr-TR"/>
        </w:rPr>
        <w:t>Orta Vadeli Mali Plan döneminde uygulamaya ko</w:t>
      </w:r>
      <w:r w:rsidR="006E0536" w:rsidRPr="006731CB">
        <w:rPr>
          <w:rFonts w:ascii="Times New Roman" w:eastAsia="Times New Roman" w:hAnsi="Times New Roman" w:cs="Times New Roman"/>
          <w:sz w:val="24"/>
          <w:szCs w:val="24"/>
          <w:lang w:eastAsia="tr-TR"/>
        </w:rPr>
        <w:t>nulacak olan</w:t>
      </w:r>
      <w:r w:rsidR="002D5A7B" w:rsidRPr="006731CB">
        <w:rPr>
          <w:rFonts w:ascii="Times New Roman" w:eastAsia="Times New Roman" w:hAnsi="Times New Roman" w:cs="Times New Roman"/>
          <w:sz w:val="24"/>
          <w:szCs w:val="24"/>
          <w:lang w:eastAsia="tr-TR"/>
        </w:rPr>
        <w:t xml:space="preserve"> yeni programlar, hizmet genişlemesine bağlı olarak ortaya çıkacak ihtiyaçlar, fiyat </w:t>
      </w:r>
      <w:r w:rsidR="00260265" w:rsidRPr="006731CB">
        <w:rPr>
          <w:rFonts w:ascii="Times New Roman" w:eastAsia="Times New Roman" w:hAnsi="Times New Roman" w:cs="Times New Roman"/>
          <w:sz w:val="24"/>
          <w:szCs w:val="24"/>
          <w:lang w:eastAsia="tr-TR"/>
        </w:rPr>
        <w:t xml:space="preserve">ve maliyet </w:t>
      </w:r>
      <w:r w:rsidR="002D5A7B" w:rsidRPr="006731CB">
        <w:rPr>
          <w:rFonts w:ascii="Times New Roman" w:eastAsia="Times New Roman" w:hAnsi="Times New Roman" w:cs="Times New Roman"/>
          <w:sz w:val="24"/>
          <w:szCs w:val="24"/>
          <w:lang w:eastAsia="tr-TR"/>
        </w:rPr>
        <w:t>artışları, döviz kuru</w:t>
      </w:r>
      <w:r w:rsidR="00647291" w:rsidRPr="006731CB">
        <w:rPr>
          <w:rFonts w:ascii="Times New Roman" w:eastAsia="Times New Roman" w:hAnsi="Times New Roman" w:cs="Times New Roman"/>
          <w:sz w:val="24"/>
          <w:szCs w:val="24"/>
          <w:lang w:eastAsia="tr-TR"/>
        </w:rPr>
        <w:t xml:space="preserve"> ve</w:t>
      </w:r>
      <w:r w:rsidR="002D5A7B" w:rsidRPr="006731CB">
        <w:rPr>
          <w:rFonts w:ascii="Times New Roman" w:eastAsia="Times New Roman" w:hAnsi="Times New Roman" w:cs="Times New Roman"/>
          <w:sz w:val="24"/>
          <w:szCs w:val="24"/>
          <w:lang w:eastAsia="tr-TR"/>
        </w:rPr>
        <w:t xml:space="preserve"> petrol</w:t>
      </w:r>
      <w:r w:rsidR="00997408" w:rsidRPr="006731CB">
        <w:rPr>
          <w:rFonts w:ascii="Times New Roman" w:eastAsia="Times New Roman" w:hAnsi="Times New Roman" w:cs="Times New Roman"/>
          <w:sz w:val="24"/>
          <w:szCs w:val="24"/>
          <w:lang w:eastAsia="tr-TR"/>
        </w:rPr>
        <w:t xml:space="preserve"> fiyat tahminleri</w:t>
      </w:r>
      <w:r w:rsidR="00647291" w:rsidRPr="006731CB">
        <w:rPr>
          <w:rFonts w:ascii="Times New Roman" w:eastAsia="Times New Roman" w:hAnsi="Times New Roman" w:cs="Times New Roman"/>
          <w:sz w:val="24"/>
          <w:szCs w:val="24"/>
          <w:lang w:eastAsia="tr-TR"/>
        </w:rPr>
        <w:t>,</w:t>
      </w:r>
      <w:r w:rsidR="002D5A7B" w:rsidRPr="006731CB">
        <w:rPr>
          <w:rFonts w:ascii="Times New Roman" w:eastAsia="Times New Roman" w:hAnsi="Times New Roman" w:cs="Times New Roman"/>
          <w:sz w:val="24"/>
          <w:szCs w:val="24"/>
          <w:lang w:eastAsia="tr-TR"/>
        </w:rPr>
        <w:t xml:space="preserve"> kamu hizmetlerinden yararlanacak kişi sayısındaki artış</w:t>
      </w:r>
      <w:r w:rsidR="00706F3F" w:rsidRPr="006731CB">
        <w:rPr>
          <w:rFonts w:ascii="Times New Roman" w:eastAsia="Times New Roman" w:hAnsi="Times New Roman" w:cs="Times New Roman"/>
          <w:sz w:val="24"/>
          <w:szCs w:val="24"/>
          <w:lang w:eastAsia="tr-TR"/>
        </w:rPr>
        <w:t xml:space="preserve"> gibi unsurlar ile </w:t>
      </w:r>
      <w:r w:rsidR="00E00B68" w:rsidRPr="006731CB">
        <w:rPr>
          <w:rFonts w:ascii="Times New Roman" w:eastAsia="Times New Roman" w:hAnsi="Times New Roman" w:cs="Times New Roman"/>
          <w:sz w:val="24"/>
          <w:szCs w:val="24"/>
          <w:lang w:eastAsia="tr-TR"/>
        </w:rPr>
        <w:t>birlikte tasarruf tedbirleri</w:t>
      </w:r>
      <w:r w:rsidR="00706F3F" w:rsidRPr="006731CB">
        <w:rPr>
          <w:rFonts w:ascii="Times New Roman" w:eastAsia="Times New Roman" w:hAnsi="Times New Roman" w:cs="Times New Roman"/>
          <w:sz w:val="24"/>
          <w:szCs w:val="24"/>
          <w:lang w:eastAsia="tr-TR"/>
        </w:rPr>
        <w:t xml:space="preserve"> de</w:t>
      </w:r>
      <w:r w:rsidR="002D5A7B" w:rsidRPr="006731CB">
        <w:rPr>
          <w:rFonts w:ascii="Times New Roman" w:eastAsia="Times New Roman" w:hAnsi="Times New Roman" w:cs="Times New Roman"/>
          <w:sz w:val="24"/>
          <w:szCs w:val="24"/>
          <w:lang w:eastAsia="tr-TR"/>
        </w:rPr>
        <w:t xml:space="preserve"> dikkate alınmıştır. </w:t>
      </w:r>
      <w:proofErr w:type="gramEnd"/>
    </w:p>
    <w:p w:rsidR="001A5D63" w:rsidRPr="001A5D63" w:rsidRDefault="003F7DA1" w:rsidP="001A5D63">
      <w:pPr>
        <w:spacing w:after="120"/>
        <w:ind w:firstLine="567"/>
        <w:jc w:val="both"/>
        <w:rPr>
          <w:rFonts w:ascii="Times New Roman" w:hAnsi="Times New Roman"/>
          <w:color w:val="00B050"/>
          <w:sz w:val="24"/>
          <w:szCs w:val="24"/>
        </w:rPr>
      </w:pPr>
      <w:proofErr w:type="gramStart"/>
      <w:r w:rsidRPr="006731CB">
        <w:rPr>
          <w:rFonts w:ascii="Times New Roman" w:eastAsia="Times New Roman" w:hAnsi="Times New Roman" w:cs="Times New Roman"/>
          <w:sz w:val="24"/>
          <w:szCs w:val="24"/>
          <w:lang w:eastAsia="tr-TR"/>
        </w:rPr>
        <w:t>5</w:t>
      </w:r>
      <w:r w:rsidR="00D61DB7">
        <w:rPr>
          <w:rFonts w:ascii="Times New Roman" w:eastAsia="Times New Roman" w:hAnsi="Times New Roman" w:cs="Times New Roman"/>
          <w:sz w:val="24"/>
          <w:szCs w:val="24"/>
          <w:lang w:eastAsia="tr-TR"/>
        </w:rPr>
        <w:t>3</w:t>
      </w:r>
      <w:r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Cari transferlerin belirlenmesinde, başta sosyal güvenlik sisteminin finansman ihtiyacı olmak üzere, tarımsal destekleme ödemeleri,</w:t>
      </w:r>
      <w:r w:rsidR="00A42C70"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sosyal amaçlı transferler ve h</w:t>
      </w:r>
      <w:r w:rsidR="0077532E" w:rsidRPr="006731CB">
        <w:rPr>
          <w:rFonts w:ascii="Times New Roman" w:eastAsia="Times New Roman" w:hAnsi="Times New Roman" w:cs="Times New Roman"/>
          <w:sz w:val="24"/>
          <w:szCs w:val="24"/>
          <w:lang w:eastAsia="tr-TR"/>
        </w:rPr>
        <w:t>ane halkına yapılan transferler,</w:t>
      </w:r>
      <w:r w:rsidR="002D5A7B" w:rsidRPr="006731CB">
        <w:rPr>
          <w:rFonts w:ascii="Times New Roman" w:eastAsia="Times New Roman" w:hAnsi="Times New Roman" w:cs="Times New Roman"/>
          <w:sz w:val="24"/>
          <w:szCs w:val="24"/>
          <w:lang w:eastAsia="tr-TR"/>
        </w:rPr>
        <w:t xml:space="preserve"> </w:t>
      </w:r>
      <w:r w:rsidR="00F24691" w:rsidRPr="006731CB">
        <w:rPr>
          <w:rFonts w:ascii="Times New Roman" w:eastAsia="Times New Roman" w:hAnsi="Times New Roman" w:cs="Times New Roman"/>
          <w:sz w:val="24"/>
          <w:szCs w:val="24"/>
          <w:lang w:eastAsia="tr-TR"/>
        </w:rPr>
        <w:t>KOSGEB destekleri</w:t>
      </w:r>
      <w:r w:rsidR="004C7B21" w:rsidRPr="006731CB">
        <w:rPr>
          <w:rFonts w:ascii="Times New Roman" w:eastAsia="Times New Roman" w:hAnsi="Times New Roman" w:cs="Times New Roman"/>
          <w:sz w:val="24"/>
          <w:szCs w:val="24"/>
          <w:lang w:eastAsia="tr-TR"/>
        </w:rPr>
        <w:t xml:space="preserve">, </w:t>
      </w:r>
      <w:r w:rsidR="00F24691" w:rsidRPr="006731CB">
        <w:rPr>
          <w:rFonts w:ascii="Times New Roman" w:eastAsia="Times New Roman" w:hAnsi="Times New Roman" w:cs="Times New Roman"/>
          <w:sz w:val="24"/>
          <w:szCs w:val="24"/>
          <w:lang w:eastAsia="tr-TR"/>
        </w:rPr>
        <w:t xml:space="preserve">Ekonomi Bakanlığı </w:t>
      </w:r>
      <w:r w:rsidR="00FE1039" w:rsidRPr="006731CB">
        <w:rPr>
          <w:rFonts w:ascii="Times New Roman" w:eastAsia="Times New Roman" w:hAnsi="Times New Roman" w:cs="Times New Roman"/>
          <w:sz w:val="24"/>
          <w:szCs w:val="24"/>
          <w:lang w:eastAsia="tr-TR"/>
        </w:rPr>
        <w:t xml:space="preserve">tarafından yapılan </w:t>
      </w:r>
      <w:r w:rsidR="00F24691" w:rsidRPr="006731CB">
        <w:rPr>
          <w:rFonts w:ascii="Times New Roman" w:eastAsia="Times New Roman" w:hAnsi="Times New Roman" w:cs="Times New Roman"/>
          <w:sz w:val="24"/>
          <w:szCs w:val="24"/>
          <w:lang w:eastAsia="tr-TR"/>
        </w:rPr>
        <w:t>teşvik ödemeleri</w:t>
      </w:r>
      <w:r w:rsidR="005423F2" w:rsidRPr="006731CB">
        <w:rPr>
          <w:rFonts w:ascii="Times New Roman" w:eastAsia="Times New Roman" w:hAnsi="Times New Roman" w:cs="Times New Roman"/>
          <w:sz w:val="24"/>
          <w:szCs w:val="24"/>
          <w:lang w:eastAsia="tr-TR"/>
        </w:rPr>
        <w:t xml:space="preserve"> ile ihracat destekleri</w:t>
      </w:r>
      <w:r w:rsidR="00F24691" w:rsidRPr="006731CB">
        <w:rPr>
          <w:rFonts w:ascii="Times New Roman" w:eastAsia="Times New Roman" w:hAnsi="Times New Roman" w:cs="Times New Roman"/>
          <w:sz w:val="24"/>
          <w:szCs w:val="24"/>
          <w:lang w:eastAsia="tr-TR"/>
        </w:rPr>
        <w:t>,</w:t>
      </w:r>
      <w:r w:rsidR="0087525D" w:rsidRPr="006731CB">
        <w:rPr>
          <w:rFonts w:ascii="Times New Roman" w:eastAsia="Times New Roman" w:hAnsi="Times New Roman" w:cs="Times New Roman"/>
          <w:sz w:val="24"/>
          <w:szCs w:val="24"/>
          <w:lang w:eastAsia="tr-TR"/>
        </w:rPr>
        <w:t xml:space="preserve"> </w:t>
      </w:r>
      <w:r w:rsidR="00BD2CDA" w:rsidRPr="006731CB">
        <w:rPr>
          <w:rFonts w:ascii="Times New Roman" w:eastAsia="Times New Roman" w:hAnsi="Times New Roman" w:cs="Times New Roman"/>
          <w:sz w:val="24"/>
          <w:szCs w:val="24"/>
          <w:lang w:eastAsia="tr-TR"/>
        </w:rPr>
        <w:t xml:space="preserve">turizm </w:t>
      </w:r>
      <w:r w:rsidR="0087525D" w:rsidRPr="006731CB">
        <w:rPr>
          <w:rFonts w:ascii="Times New Roman" w:eastAsia="Times New Roman" w:hAnsi="Times New Roman" w:cs="Times New Roman"/>
          <w:sz w:val="24"/>
          <w:szCs w:val="24"/>
          <w:lang w:eastAsia="tr-TR"/>
        </w:rPr>
        <w:t xml:space="preserve">uçuş destek ödemeleri, </w:t>
      </w:r>
      <w:r w:rsidR="00F24691" w:rsidRPr="006731CB">
        <w:rPr>
          <w:rFonts w:ascii="Times New Roman" w:eastAsia="Times New Roman" w:hAnsi="Times New Roman" w:cs="Times New Roman"/>
          <w:sz w:val="24"/>
          <w:szCs w:val="24"/>
          <w:lang w:eastAsia="tr-TR"/>
        </w:rPr>
        <w:t xml:space="preserve">trafik garanti ödemeleri, </w:t>
      </w:r>
      <w:r w:rsidR="00DA68D1" w:rsidRPr="006731CB">
        <w:rPr>
          <w:rFonts w:ascii="Times New Roman" w:eastAsia="Times New Roman" w:hAnsi="Times New Roman" w:cs="Times New Roman"/>
          <w:sz w:val="24"/>
          <w:szCs w:val="24"/>
          <w:lang w:eastAsia="tr-TR"/>
        </w:rPr>
        <w:t>TCDD A.Ş. kamu hizmet yükümlülüğü</w:t>
      </w:r>
      <w:r w:rsidR="001A5D63" w:rsidRPr="006731CB">
        <w:rPr>
          <w:rFonts w:ascii="Times New Roman" w:eastAsia="Times New Roman" w:hAnsi="Times New Roman" w:cs="Times New Roman"/>
          <w:sz w:val="24"/>
          <w:szCs w:val="24"/>
          <w:lang w:eastAsia="tr-TR"/>
        </w:rPr>
        <w:t>,</w:t>
      </w:r>
      <w:r w:rsidR="00DA68D1" w:rsidRPr="006731CB">
        <w:rPr>
          <w:rFonts w:ascii="Times New Roman" w:eastAsia="Calibri" w:hAnsi="Times New Roman" w:cs="Times New Roman"/>
          <w:lang w:val="en-US"/>
        </w:rPr>
        <w:t xml:space="preserve"> </w:t>
      </w:r>
      <w:r w:rsidR="002D5A7B" w:rsidRPr="006731CB">
        <w:rPr>
          <w:rFonts w:ascii="Times New Roman" w:eastAsia="Times New Roman" w:hAnsi="Times New Roman" w:cs="Times New Roman"/>
          <w:sz w:val="24"/>
          <w:szCs w:val="24"/>
          <w:lang w:eastAsia="tr-TR"/>
        </w:rPr>
        <w:t>bireysel emeklilik sist</w:t>
      </w:r>
      <w:r w:rsidR="00961B1C" w:rsidRPr="006731CB">
        <w:rPr>
          <w:rFonts w:ascii="Times New Roman" w:eastAsia="Times New Roman" w:hAnsi="Times New Roman" w:cs="Times New Roman"/>
          <w:sz w:val="24"/>
          <w:szCs w:val="24"/>
          <w:lang w:eastAsia="tr-TR"/>
        </w:rPr>
        <w:t xml:space="preserve">emi, </w:t>
      </w:r>
      <w:r w:rsidR="005423F2" w:rsidRPr="006731CB">
        <w:rPr>
          <w:rFonts w:ascii="Times New Roman" w:eastAsia="Times New Roman" w:hAnsi="Times New Roman" w:cs="Times New Roman"/>
          <w:sz w:val="24"/>
          <w:szCs w:val="24"/>
          <w:lang w:eastAsia="tr-TR"/>
        </w:rPr>
        <w:t>pansiyon hizmetleri, burs ve harçlıklar</w:t>
      </w:r>
      <w:r w:rsidR="00260265" w:rsidRPr="006731CB">
        <w:rPr>
          <w:rFonts w:ascii="Times New Roman" w:eastAsia="Times New Roman" w:hAnsi="Times New Roman" w:cs="Times New Roman"/>
          <w:sz w:val="24"/>
          <w:szCs w:val="24"/>
          <w:lang w:eastAsia="tr-TR"/>
        </w:rPr>
        <w:t xml:space="preserve">, beslenme yardımı, öğrenci katkı payları, </w:t>
      </w:r>
      <w:r w:rsidR="002D5A7B" w:rsidRPr="006731CB">
        <w:rPr>
          <w:rFonts w:ascii="Times New Roman" w:eastAsia="Times New Roman" w:hAnsi="Times New Roman" w:cs="Times New Roman"/>
          <w:sz w:val="24"/>
          <w:szCs w:val="24"/>
          <w:lang w:eastAsia="tr-TR"/>
        </w:rPr>
        <w:t>engelli evde bakımı</w:t>
      </w:r>
      <w:r w:rsidR="00835FEF" w:rsidRPr="006731CB">
        <w:rPr>
          <w:rFonts w:ascii="Times New Roman" w:eastAsia="Times New Roman" w:hAnsi="Times New Roman" w:cs="Times New Roman"/>
          <w:sz w:val="24"/>
          <w:szCs w:val="24"/>
          <w:lang w:eastAsia="tr-TR"/>
        </w:rPr>
        <w:t>, doğum yardımı</w:t>
      </w:r>
      <w:r w:rsidR="00F6722F" w:rsidRPr="006731CB">
        <w:rPr>
          <w:rFonts w:ascii="Times New Roman" w:eastAsia="Times New Roman" w:hAnsi="Times New Roman" w:cs="Times New Roman"/>
          <w:sz w:val="24"/>
          <w:szCs w:val="24"/>
          <w:lang w:eastAsia="tr-TR"/>
        </w:rPr>
        <w:t>,</w:t>
      </w:r>
      <w:r w:rsidR="00260265" w:rsidRPr="006731CB">
        <w:rPr>
          <w:rFonts w:ascii="Times New Roman" w:eastAsia="Times New Roman" w:hAnsi="Times New Roman" w:cs="Times New Roman"/>
          <w:sz w:val="24"/>
          <w:szCs w:val="24"/>
          <w:lang w:eastAsia="tr-TR"/>
        </w:rPr>
        <w:t xml:space="preserve"> yaşlı ve engellilerin ücretsiz taşınması</w:t>
      </w:r>
      <w:r w:rsidR="0077532E" w:rsidRPr="006731CB">
        <w:rPr>
          <w:rFonts w:ascii="Times New Roman" w:eastAsia="Times New Roman" w:hAnsi="Times New Roman" w:cs="Times New Roman"/>
          <w:sz w:val="24"/>
          <w:szCs w:val="24"/>
          <w:lang w:eastAsia="tr-TR"/>
        </w:rPr>
        <w:t xml:space="preserve"> gibi</w:t>
      </w:r>
      <w:r w:rsidR="002F0ABC" w:rsidRPr="006731CB">
        <w:rPr>
          <w:rFonts w:ascii="Times New Roman" w:eastAsia="Times New Roman" w:hAnsi="Times New Roman" w:cs="Times New Roman"/>
          <w:sz w:val="24"/>
          <w:szCs w:val="24"/>
          <w:lang w:eastAsia="tr-TR"/>
        </w:rPr>
        <w:t xml:space="preserve"> </w:t>
      </w:r>
      <w:r w:rsidR="0077532E" w:rsidRPr="006731CB">
        <w:rPr>
          <w:rFonts w:ascii="Times New Roman" w:eastAsia="Times New Roman" w:hAnsi="Times New Roman" w:cs="Times New Roman"/>
          <w:sz w:val="24"/>
          <w:szCs w:val="24"/>
          <w:lang w:eastAsia="tr-TR"/>
        </w:rPr>
        <w:t xml:space="preserve">sosyal yardım, </w:t>
      </w:r>
      <w:r w:rsidR="007A4F07" w:rsidRPr="006731CB">
        <w:rPr>
          <w:rFonts w:ascii="Times New Roman" w:eastAsia="Times New Roman" w:hAnsi="Times New Roman" w:cs="Times New Roman"/>
          <w:sz w:val="24"/>
          <w:szCs w:val="24"/>
          <w:lang w:eastAsia="tr-TR"/>
        </w:rPr>
        <w:t xml:space="preserve">teşvik, </w:t>
      </w:r>
      <w:r w:rsidR="0077532E" w:rsidRPr="006731CB">
        <w:rPr>
          <w:rFonts w:ascii="Times New Roman" w:eastAsia="Times New Roman" w:hAnsi="Times New Roman" w:cs="Times New Roman"/>
          <w:sz w:val="24"/>
          <w:szCs w:val="24"/>
          <w:lang w:eastAsia="tr-TR"/>
        </w:rPr>
        <w:t>destek vb. programlardan</w:t>
      </w:r>
      <w:r w:rsidR="002D5A7B" w:rsidRPr="006731CB">
        <w:rPr>
          <w:rFonts w:ascii="Times New Roman" w:eastAsia="Times New Roman" w:hAnsi="Times New Roman" w:cs="Times New Roman"/>
          <w:sz w:val="24"/>
          <w:szCs w:val="24"/>
          <w:lang w:eastAsia="tr-TR"/>
        </w:rPr>
        <w:t xml:space="preserve"> yararlanacak kişi </w:t>
      </w:r>
      <w:r w:rsidR="002D5A7B" w:rsidRPr="006731CB">
        <w:rPr>
          <w:rFonts w:ascii="Times New Roman" w:eastAsia="Calibri" w:hAnsi="Times New Roman" w:cs="Times New Roman"/>
          <w:sz w:val="24"/>
          <w:szCs w:val="24"/>
        </w:rPr>
        <w:t>sayısı</w:t>
      </w:r>
      <w:r w:rsidR="009E3839" w:rsidRPr="006731CB">
        <w:rPr>
          <w:rFonts w:ascii="Times New Roman" w:eastAsia="Calibri" w:hAnsi="Times New Roman" w:cs="Times New Roman"/>
          <w:sz w:val="24"/>
          <w:szCs w:val="24"/>
        </w:rPr>
        <w:t xml:space="preserve"> </w:t>
      </w:r>
      <w:r w:rsidR="0077532E" w:rsidRPr="006731CB">
        <w:rPr>
          <w:rFonts w:ascii="Times New Roman" w:eastAsia="Calibri" w:hAnsi="Times New Roman" w:cs="Times New Roman"/>
          <w:sz w:val="24"/>
          <w:szCs w:val="24"/>
        </w:rPr>
        <w:t>ve</w:t>
      </w:r>
      <w:r w:rsidR="002F0ABC" w:rsidRPr="006731CB">
        <w:rPr>
          <w:rFonts w:ascii="Times New Roman" w:eastAsia="Calibri" w:hAnsi="Times New Roman" w:cs="Times New Roman"/>
          <w:sz w:val="24"/>
          <w:szCs w:val="24"/>
        </w:rPr>
        <w:t xml:space="preserve"> </w:t>
      </w:r>
      <w:r w:rsidR="009E3839" w:rsidRPr="006731CB">
        <w:rPr>
          <w:rFonts w:ascii="Times New Roman" w:eastAsia="Times New Roman" w:hAnsi="Times New Roman" w:cs="Times New Roman"/>
          <w:sz w:val="24"/>
          <w:szCs w:val="24"/>
          <w:lang w:eastAsia="tr-TR"/>
        </w:rPr>
        <w:t>maliyeti etkileyen unsurlar</w:t>
      </w:r>
      <w:r w:rsidR="002D5A7B" w:rsidRPr="006731CB">
        <w:rPr>
          <w:rFonts w:ascii="Times New Roman" w:eastAsia="Times New Roman" w:hAnsi="Times New Roman" w:cs="Times New Roman"/>
          <w:sz w:val="24"/>
          <w:szCs w:val="24"/>
          <w:lang w:eastAsia="tr-TR"/>
        </w:rPr>
        <w:t xml:space="preserve"> göz önünde bulundurulmuştur. </w:t>
      </w:r>
      <w:proofErr w:type="gramEnd"/>
      <w:r w:rsidR="00F956FD" w:rsidRPr="006731CB">
        <w:rPr>
          <w:rFonts w:ascii="Times New Roman" w:eastAsia="Times New Roman" w:hAnsi="Times New Roman" w:cs="Times New Roman"/>
          <w:sz w:val="24"/>
          <w:szCs w:val="24"/>
          <w:lang w:eastAsia="tr-TR"/>
        </w:rPr>
        <w:t>M</w:t>
      </w:r>
      <w:r w:rsidR="000D5A4A" w:rsidRPr="006731CB">
        <w:rPr>
          <w:rFonts w:ascii="Times New Roman" w:eastAsia="Times New Roman" w:hAnsi="Times New Roman" w:cs="Times New Roman"/>
          <w:sz w:val="24"/>
          <w:szCs w:val="24"/>
          <w:lang w:eastAsia="tr-TR"/>
        </w:rPr>
        <w:t xml:space="preserve">emur maaşlarında toplu sözleşme süreci sonunda yapılan artışların memur emeklilerinin </w:t>
      </w:r>
      <w:r w:rsidR="000D5A4A" w:rsidRPr="006731CB">
        <w:rPr>
          <w:rFonts w:ascii="Times New Roman" w:eastAsia="Times New Roman" w:hAnsi="Times New Roman" w:cs="Times New Roman"/>
          <w:sz w:val="24"/>
          <w:szCs w:val="24"/>
          <w:lang w:eastAsia="tr-TR"/>
        </w:rPr>
        <w:lastRenderedPageBreak/>
        <w:t>aylıklarında ve emekli ikramiyelerinde oluşturacağı artış</w:t>
      </w:r>
      <w:r w:rsidR="009E3839" w:rsidRPr="006731CB">
        <w:rPr>
          <w:rFonts w:ascii="Times New Roman" w:eastAsia="Times New Roman" w:hAnsi="Times New Roman" w:cs="Times New Roman"/>
          <w:sz w:val="24"/>
          <w:szCs w:val="24"/>
          <w:lang w:eastAsia="tr-TR"/>
        </w:rPr>
        <w:t>lar</w:t>
      </w:r>
      <w:r w:rsidR="000D5A4A"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 xml:space="preserve">dikkate alınmıştır. </w:t>
      </w:r>
      <w:r w:rsidR="008733C0" w:rsidRPr="006731CB">
        <w:rPr>
          <w:rFonts w:ascii="Times New Roman" w:eastAsia="Times New Roman" w:hAnsi="Times New Roman" w:cs="Times New Roman"/>
          <w:sz w:val="24"/>
          <w:szCs w:val="24"/>
          <w:lang w:eastAsia="tr-TR"/>
        </w:rPr>
        <w:t>Ayrıca v</w:t>
      </w:r>
      <w:r w:rsidR="002D5A7B" w:rsidRPr="006731CB">
        <w:rPr>
          <w:rFonts w:ascii="Times New Roman" w:eastAsia="Times New Roman" w:hAnsi="Times New Roman" w:cs="Times New Roman"/>
          <w:sz w:val="24"/>
          <w:szCs w:val="24"/>
          <w:lang w:eastAsia="tr-TR"/>
        </w:rPr>
        <w:t>ergi gelirlerindeki artış</w:t>
      </w:r>
      <w:r w:rsidR="008733C0" w:rsidRPr="006731CB">
        <w:rPr>
          <w:rFonts w:ascii="Times New Roman" w:eastAsia="Times New Roman" w:hAnsi="Times New Roman" w:cs="Times New Roman"/>
          <w:sz w:val="24"/>
          <w:szCs w:val="24"/>
          <w:lang w:eastAsia="tr-TR"/>
        </w:rPr>
        <w:t xml:space="preserve"> sonucu</w:t>
      </w:r>
      <w:r w:rsidR="00E452F2" w:rsidRPr="006731CB">
        <w:rPr>
          <w:rFonts w:ascii="Times New Roman" w:eastAsia="Times New Roman" w:hAnsi="Times New Roman" w:cs="Times New Roman"/>
          <w:sz w:val="24"/>
          <w:szCs w:val="24"/>
          <w:lang w:eastAsia="tr-TR"/>
        </w:rPr>
        <w:t>nda</w:t>
      </w:r>
      <w:r w:rsidR="002D5A7B" w:rsidRPr="006731CB">
        <w:rPr>
          <w:rFonts w:ascii="Times New Roman" w:eastAsia="Times New Roman" w:hAnsi="Times New Roman" w:cs="Times New Roman"/>
          <w:sz w:val="24"/>
          <w:szCs w:val="24"/>
          <w:lang w:eastAsia="tr-TR"/>
        </w:rPr>
        <w:t xml:space="preserve"> mahalli idare paylarında </w:t>
      </w:r>
      <w:r w:rsidR="00E452F2" w:rsidRPr="006731CB">
        <w:rPr>
          <w:rFonts w:ascii="Times New Roman" w:eastAsia="Times New Roman" w:hAnsi="Times New Roman" w:cs="Times New Roman"/>
          <w:sz w:val="24"/>
          <w:szCs w:val="24"/>
          <w:lang w:eastAsia="tr-TR"/>
        </w:rPr>
        <w:t xml:space="preserve">da </w:t>
      </w:r>
      <w:r w:rsidR="002D5A7B" w:rsidRPr="006731CB">
        <w:rPr>
          <w:rFonts w:ascii="Times New Roman" w:eastAsia="Times New Roman" w:hAnsi="Times New Roman" w:cs="Times New Roman"/>
          <w:sz w:val="24"/>
          <w:szCs w:val="24"/>
          <w:lang w:eastAsia="tr-TR"/>
        </w:rPr>
        <w:t>artış gerçekleşeceği varsayılmıştır</w:t>
      </w:r>
      <w:r w:rsidR="002D5A7B" w:rsidRPr="00B85B5C">
        <w:rPr>
          <w:rFonts w:ascii="Times New Roman" w:eastAsia="Times New Roman" w:hAnsi="Times New Roman" w:cs="Times New Roman"/>
          <w:sz w:val="24"/>
          <w:szCs w:val="24"/>
          <w:lang w:eastAsia="tr-TR"/>
        </w:rPr>
        <w:t>.</w:t>
      </w:r>
      <w:r w:rsidR="001A5D63" w:rsidRPr="001A5D63">
        <w:rPr>
          <w:rFonts w:ascii="Times New Roman" w:hAnsi="Times New Roman"/>
          <w:color w:val="00B050"/>
          <w:sz w:val="24"/>
          <w:szCs w:val="24"/>
        </w:rPr>
        <w:t xml:space="preserve"> </w:t>
      </w:r>
    </w:p>
    <w:p w:rsidR="005423F2" w:rsidRPr="006731CB" w:rsidRDefault="003F7DA1"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D61DB7">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Sermaye giderlerinin belirlenmesinde</w:t>
      </w:r>
      <w:r w:rsidR="00E452F2" w:rsidRPr="006731CB">
        <w:rPr>
          <w:rFonts w:ascii="Times New Roman" w:eastAsia="Times New Roman" w:hAnsi="Times New Roman" w:cs="Times New Roman"/>
          <w:sz w:val="24"/>
          <w:szCs w:val="24"/>
          <w:lang w:eastAsia="tr-TR"/>
        </w:rPr>
        <w:t>,</w:t>
      </w:r>
      <w:r w:rsidR="002D5A7B" w:rsidRPr="006731CB">
        <w:rPr>
          <w:rFonts w:ascii="Times New Roman" w:eastAsia="Times New Roman" w:hAnsi="Times New Roman" w:cs="Times New Roman"/>
          <w:sz w:val="24"/>
          <w:szCs w:val="24"/>
          <w:lang w:eastAsia="tr-TR"/>
        </w:rPr>
        <w:t xml:space="preserve"> Orta Vadeli Mali Plan döneminde </w:t>
      </w:r>
      <w:r w:rsidR="00906DD0" w:rsidRPr="006731CB">
        <w:rPr>
          <w:rFonts w:ascii="Times New Roman" w:eastAsia="Times New Roman" w:hAnsi="Times New Roman" w:cs="Times New Roman"/>
          <w:sz w:val="24"/>
          <w:szCs w:val="24"/>
          <w:lang w:eastAsia="tr-TR"/>
        </w:rPr>
        <w:t xml:space="preserve">başta eğitim, sağlık, ulaştırma sektörleri olmak üzere </w:t>
      </w:r>
      <w:r w:rsidR="002D5A7B" w:rsidRPr="006731CB">
        <w:rPr>
          <w:rFonts w:ascii="Times New Roman" w:eastAsia="Times New Roman" w:hAnsi="Times New Roman" w:cs="Times New Roman"/>
          <w:sz w:val="24"/>
          <w:szCs w:val="24"/>
          <w:lang w:eastAsia="tr-TR"/>
        </w:rPr>
        <w:t>kamu yatırımlarına ilişkin belirlenen hedefler</w:t>
      </w:r>
      <w:r w:rsidR="00E975C4" w:rsidRPr="006731CB">
        <w:rPr>
          <w:rFonts w:ascii="Times New Roman" w:eastAsia="Times New Roman" w:hAnsi="Times New Roman" w:cs="Times New Roman"/>
          <w:sz w:val="24"/>
          <w:szCs w:val="24"/>
          <w:lang w:eastAsia="tr-TR"/>
        </w:rPr>
        <w:t>,</w:t>
      </w:r>
      <w:r w:rsidR="002D5A7B" w:rsidRPr="006731CB">
        <w:rPr>
          <w:rFonts w:ascii="Times New Roman" w:eastAsia="Times New Roman" w:hAnsi="Times New Roman" w:cs="Times New Roman"/>
          <w:sz w:val="24"/>
          <w:szCs w:val="24"/>
          <w:lang w:eastAsia="tr-TR"/>
        </w:rPr>
        <w:t xml:space="preserve"> bölgesel kalkınma projeleri kapsamında yapılacak yatırımlar</w:t>
      </w:r>
      <w:r w:rsidR="00E975C4" w:rsidRPr="006731CB">
        <w:rPr>
          <w:rFonts w:ascii="Times New Roman" w:eastAsia="Times New Roman" w:hAnsi="Times New Roman" w:cs="Times New Roman"/>
          <w:sz w:val="24"/>
          <w:szCs w:val="24"/>
          <w:lang w:eastAsia="tr-TR"/>
        </w:rPr>
        <w:t xml:space="preserve"> ile</w:t>
      </w:r>
      <w:r w:rsidR="00906DD0" w:rsidRPr="006731CB">
        <w:rPr>
          <w:rFonts w:ascii="Times New Roman" w:eastAsia="Times New Roman" w:hAnsi="Times New Roman" w:cs="Times New Roman"/>
          <w:sz w:val="24"/>
          <w:szCs w:val="24"/>
          <w:lang w:eastAsia="tr-TR"/>
        </w:rPr>
        <w:t xml:space="preserve"> </w:t>
      </w:r>
      <w:r w:rsidR="00E975C4" w:rsidRPr="006731CB">
        <w:rPr>
          <w:rFonts w:ascii="Times New Roman" w:hAnsi="Times New Roman" w:cs="Times New Roman"/>
          <w:sz w:val="24"/>
        </w:rPr>
        <w:t xml:space="preserve">KÖİ şehir hastaneleri yatırım giderleri </w:t>
      </w:r>
      <w:r w:rsidR="002D5A7B" w:rsidRPr="006731CB">
        <w:rPr>
          <w:rFonts w:ascii="Times New Roman" w:eastAsia="Times New Roman" w:hAnsi="Times New Roman" w:cs="Times New Roman"/>
          <w:sz w:val="24"/>
          <w:szCs w:val="24"/>
          <w:lang w:eastAsia="tr-TR"/>
        </w:rPr>
        <w:t xml:space="preserve">dikkate alınmıştır. </w:t>
      </w:r>
    </w:p>
    <w:p w:rsidR="005423F2" w:rsidRPr="006731CB" w:rsidRDefault="003F7DA1" w:rsidP="00933401">
      <w:pPr>
        <w:spacing w:after="120"/>
        <w:ind w:firstLine="567"/>
        <w:jc w:val="both"/>
        <w:rPr>
          <w:rFonts w:ascii="Times New Roman" w:hAnsi="Times New Roman"/>
          <w:sz w:val="24"/>
          <w:szCs w:val="24"/>
        </w:rPr>
      </w:pPr>
      <w:r w:rsidRPr="006731CB">
        <w:rPr>
          <w:rFonts w:ascii="Times New Roman" w:eastAsia="Times New Roman" w:hAnsi="Times New Roman" w:cs="Times New Roman"/>
          <w:sz w:val="24"/>
          <w:szCs w:val="24"/>
          <w:lang w:eastAsia="tr-TR"/>
        </w:rPr>
        <w:t>5</w:t>
      </w:r>
      <w:r w:rsidR="00D61DB7">
        <w:rPr>
          <w:rFonts w:ascii="Times New Roman" w:eastAsia="Times New Roman" w:hAnsi="Times New Roman" w:cs="Times New Roman"/>
          <w:sz w:val="24"/>
          <w:szCs w:val="24"/>
          <w:lang w:eastAsia="tr-TR"/>
        </w:rPr>
        <w:t>5</w:t>
      </w:r>
      <w:r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Sermaye transferlerinin belirlenmesinde, Orta Vadeli Mali Plan döneminde KÖYDES,</w:t>
      </w:r>
      <w:r w:rsidR="00FB1CE0"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SUKAP, SODES</w:t>
      </w:r>
      <w:r w:rsidR="00FB1CE0" w:rsidRPr="006731CB">
        <w:rPr>
          <w:rFonts w:ascii="Times New Roman" w:eastAsia="Times New Roman" w:hAnsi="Times New Roman" w:cs="Times New Roman"/>
          <w:sz w:val="24"/>
          <w:szCs w:val="24"/>
          <w:lang w:eastAsia="tr-TR"/>
        </w:rPr>
        <w:t>, Cazibe Merkezleri</w:t>
      </w:r>
      <w:r w:rsidR="0047009F" w:rsidRPr="006731CB">
        <w:rPr>
          <w:rFonts w:ascii="Times New Roman" w:eastAsia="Times New Roman" w:hAnsi="Times New Roman" w:cs="Times New Roman"/>
          <w:sz w:val="24"/>
          <w:szCs w:val="24"/>
          <w:lang w:eastAsia="tr-TR"/>
        </w:rPr>
        <w:t xml:space="preserve"> Programı</w:t>
      </w:r>
      <w:r w:rsidR="007316C0"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 xml:space="preserve">ve </w:t>
      </w:r>
      <w:r w:rsidR="003F5228" w:rsidRPr="006731CB">
        <w:rPr>
          <w:rFonts w:ascii="Times New Roman" w:eastAsia="Times New Roman" w:hAnsi="Times New Roman" w:cs="Times New Roman"/>
          <w:sz w:val="24"/>
          <w:szCs w:val="24"/>
          <w:lang w:eastAsia="tr-TR"/>
        </w:rPr>
        <w:t>Ar-Ge</w:t>
      </w:r>
      <w:r w:rsidR="000756EB"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projelerine desteğin devam ettirilmesi öngörülmüş ve TCDD’ye yapılacak transferler dikkate alınmıştır.</w:t>
      </w:r>
      <w:r w:rsidR="001A5D63" w:rsidRPr="006731CB">
        <w:rPr>
          <w:rFonts w:ascii="Times New Roman" w:hAnsi="Times New Roman"/>
          <w:sz w:val="24"/>
          <w:szCs w:val="24"/>
        </w:rPr>
        <w:t xml:space="preserve"> </w:t>
      </w:r>
    </w:p>
    <w:p w:rsidR="005423F2" w:rsidRPr="006731CB" w:rsidRDefault="003F7DA1"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D61DB7">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Borç verme giderlerin</w:t>
      </w:r>
      <w:r w:rsidR="00793CEE">
        <w:rPr>
          <w:rFonts w:ascii="Times New Roman" w:eastAsia="Times New Roman" w:hAnsi="Times New Roman" w:cs="Times New Roman"/>
          <w:sz w:val="24"/>
          <w:szCs w:val="24"/>
          <w:lang w:eastAsia="tr-TR"/>
        </w:rPr>
        <w:t>in belirlenmesinde,</w:t>
      </w:r>
      <w:r w:rsidR="002D5A7B" w:rsidRPr="006731CB">
        <w:rPr>
          <w:rFonts w:ascii="Times New Roman" w:eastAsia="Times New Roman" w:hAnsi="Times New Roman" w:cs="Times New Roman"/>
          <w:sz w:val="24"/>
          <w:szCs w:val="24"/>
          <w:lang w:eastAsia="tr-TR"/>
        </w:rPr>
        <w:t xml:space="preserve"> TCDD’nin sermaye ihtiyacı başta olmak üzere KİT’lerin mali yapısı</w:t>
      </w:r>
      <w:r w:rsidR="00A96F05" w:rsidRPr="006731CB">
        <w:rPr>
          <w:rFonts w:ascii="Times New Roman" w:eastAsia="Times New Roman" w:hAnsi="Times New Roman" w:cs="Times New Roman"/>
          <w:sz w:val="24"/>
          <w:szCs w:val="24"/>
          <w:lang w:eastAsia="tr-TR"/>
        </w:rPr>
        <w:t xml:space="preserve">, </w:t>
      </w:r>
      <w:r w:rsidR="005423F2" w:rsidRPr="006731CB">
        <w:rPr>
          <w:rFonts w:ascii="Times New Roman" w:eastAsia="Times New Roman" w:hAnsi="Times New Roman" w:cs="Times New Roman"/>
          <w:sz w:val="24"/>
          <w:szCs w:val="24"/>
          <w:lang w:eastAsia="tr-TR"/>
        </w:rPr>
        <w:t>Kredi Garanti Fonu</w:t>
      </w:r>
      <w:r w:rsidR="00F61BA6" w:rsidRPr="006731CB">
        <w:rPr>
          <w:rFonts w:ascii="Times New Roman" w:eastAsia="Times New Roman" w:hAnsi="Times New Roman" w:cs="Times New Roman"/>
          <w:sz w:val="24"/>
          <w:szCs w:val="24"/>
          <w:lang w:eastAsia="tr-TR"/>
        </w:rPr>
        <w:t>ndan</w:t>
      </w:r>
      <w:r w:rsidR="005423F2" w:rsidRPr="006731CB">
        <w:rPr>
          <w:rFonts w:ascii="Times New Roman" w:eastAsia="Times New Roman" w:hAnsi="Times New Roman" w:cs="Times New Roman"/>
          <w:sz w:val="24"/>
          <w:szCs w:val="24"/>
          <w:lang w:eastAsia="tr-TR"/>
        </w:rPr>
        <w:t xml:space="preserve"> sağlanan kefalet tutarındaki artış</w:t>
      </w:r>
      <w:r w:rsidR="00906DD0" w:rsidRPr="006731CB">
        <w:rPr>
          <w:rFonts w:ascii="Times New Roman" w:eastAsia="Times New Roman" w:hAnsi="Times New Roman" w:cs="Times New Roman"/>
          <w:sz w:val="24"/>
          <w:szCs w:val="24"/>
          <w:lang w:eastAsia="tr-TR"/>
        </w:rPr>
        <w:t>,</w:t>
      </w:r>
      <w:r w:rsidR="005423F2" w:rsidRPr="006731CB">
        <w:rPr>
          <w:rFonts w:ascii="Times New Roman" w:eastAsia="Times New Roman" w:hAnsi="Times New Roman" w:cs="Times New Roman"/>
          <w:sz w:val="24"/>
          <w:szCs w:val="24"/>
          <w:lang w:eastAsia="tr-TR"/>
        </w:rPr>
        <w:t xml:space="preserve"> </w:t>
      </w:r>
      <w:r w:rsidR="009E3839" w:rsidRPr="006731CB">
        <w:rPr>
          <w:rFonts w:ascii="Times New Roman" w:eastAsia="Times New Roman" w:hAnsi="Times New Roman" w:cs="Times New Roman"/>
          <w:sz w:val="24"/>
          <w:szCs w:val="24"/>
          <w:lang w:eastAsia="tr-TR"/>
        </w:rPr>
        <w:t>öğrenim</w:t>
      </w:r>
      <w:r w:rsidR="005423F2" w:rsidRPr="006731CB">
        <w:rPr>
          <w:rFonts w:ascii="Times New Roman" w:eastAsia="Times New Roman" w:hAnsi="Times New Roman" w:cs="Times New Roman"/>
          <w:sz w:val="24"/>
          <w:szCs w:val="24"/>
          <w:lang w:eastAsia="tr-TR"/>
        </w:rPr>
        <w:t xml:space="preserve"> kredisi tutarı </w:t>
      </w:r>
      <w:r w:rsidR="00961B1C" w:rsidRPr="006731CB">
        <w:rPr>
          <w:rFonts w:ascii="Times New Roman" w:eastAsia="Times New Roman" w:hAnsi="Times New Roman" w:cs="Times New Roman"/>
          <w:sz w:val="24"/>
          <w:szCs w:val="24"/>
          <w:lang w:eastAsia="tr-TR"/>
        </w:rPr>
        <w:t>ve</w:t>
      </w:r>
      <w:r w:rsidR="005423F2" w:rsidRPr="006731CB">
        <w:rPr>
          <w:rFonts w:ascii="Times New Roman" w:eastAsia="Calibri" w:hAnsi="Times New Roman" w:cs="Times New Roman"/>
          <w:sz w:val="24"/>
          <w:szCs w:val="24"/>
        </w:rPr>
        <w:t xml:space="preserve"> öğrenim kredisin</w:t>
      </w:r>
      <w:r w:rsidR="009E3839" w:rsidRPr="006731CB">
        <w:rPr>
          <w:rFonts w:ascii="Times New Roman" w:eastAsia="Calibri" w:hAnsi="Times New Roman" w:cs="Times New Roman"/>
          <w:sz w:val="24"/>
          <w:szCs w:val="24"/>
        </w:rPr>
        <w:t>de</w:t>
      </w:r>
      <w:r w:rsidR="00E452F2" w:rsidRPr="006731CB">
        <w:rPr>
          <w:rFonts w:ascii="Times New Roman" w:eastAsia="Calibri" w:hAnsi="Times New Roman" w:cs="Times New Roman"/>
          <w:sz w:val="24"/>
          <w:szCs w:val="24"/>
        </w:rPr>
        <w:t>n yararlanan</w:t>
      </w:r>
      <w:r w:rsidR="009E3839" w:rsidRPr="006731CB">
        <w:rPr>
          <w:rFonts w:ascii="Times New Roman" w:eastAsia="Calibri" w:hAnsi="Times New Roman" w:cs="Times New Roman"/>
          <w:sz w:val="24"/>
          <w:szCs w:val="24"/>
        </w:rPr>
        <w:t xml:space="preserve"> öğrenci sayısındaki artış</w:t>
      </w:r>
      <w:r w:rsidR="009E3839"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 xml:space="preserve">dikkate alınmıştır. </w:t>
      </w:r>
    </w:p>
    <w:p w:rsidR="002D5A7B" w:rsidRPr="006731CB" w:rsidRDefault="003F7DA1" w:rsidP="00933401">
      <w:pPr>
        <w:spacing w:after="120"/>
        <w:ind w:firstLine="567"/>
        <w:jc w:val="both"/>
        <w:rPr>
          <w:rFonts w:ascii="Times New Roman" w:eastAsia="Times New Roman" w:hAnsi="Times New Roman" w:cs="Times New Roman"/>
          <w:sz w:val="24"/>
          <w:szCs w:val="24"/>
          <w:lang w:eastAsia="tr-TR"/>
        </w:rPr>
      </w:pPr>
      <w:r w:rsidRPr="006731CB">
        <w:rPr>
          <w:rFonts w:ascii="Times New Roman" w:eastAsia="Times New Roman" w:hAnsi="Times New Roman" w:cs="Times New Roman"/>
          <w:sz w:val="24"/>
          <w:szCs w:val="24"/>
          <w:lang w:eastAsia="tr-TR"/>
        </w:rPr>
        <w:t>5</w:t>
      </w:r>
      <w:r w:rsidR="00D61DB7">
        <w:rPr>
          <w:rFonts w:ascii="Times New Roman" w:eastAsia="Times New Roman" w:hAnsi="Times New Roman" w:cs="Times New Roman"/>
          <w:sz w:val="24"/>
          <w:szCs w:val="24"/>
          <w:lang w:eastAsia="tr-TR"/>
        </w:rPr>
        <w:t>7</w:t>
      </w:r>
      <w:r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Yedek ödeneklerin belirlenmesinde</w:t>
      </w:r>
      <w:r w:rsidR="00793CEE">
        <w:rPr>
          <w:rFonts w:ascii="Times New Roman" w:eastAsia="Times New Roman" w:hAnsi="Times New Roman" w:cs="Times New Roman"/>
          <w:sz w:val="24"/>
          <w:szCs w:val="24"/>
          <w:lang w:eastAsia="tr-TR"/>
        </w:rPr>
        <w:t>,</w:t>
      </w:r>
      <w:r w:rsidR="002D5A7B" w:rsidRPr="006731CB">
        <w:rPr>
          <w:rFonts w:ascii="Times New Roman" w:eastAsia="Times New Roman" w:hAnsi="Times New Roman" w:cs="Times New Roman"/>
          <w:sz w:val="24"/>
          <w:szCs w:val="24"/>
          <w:lang w:eastAsia="tr-TR"/>
        </w:rPr>
        <w:t xml:space="preserve"> yıl içinde ortaya çıkabilecek ihtiyaçlar göz önünde bulundurulmuştur. </w:t>
      </w:r>
    </w:p>
    <w:p w:rsidR="002D5A7B" w:rsidRPr="00932F51" w:rsidRDefault="003F7DA1"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D61DB7">
        <w:rPr>
          <w:rFonts w:ascii="Times New Roman" w:eastAsia="Times New Roman" w:hAnsi="Times New Roman" w:cs="Times New Roman"/>
          <w:sz w:val="24"/>
          <w:szCs w:val="24"/>
          <w:lang w:eastAsia="tr-TR"/>
        </w:rPr>
        <w:t>8</w:t>
      </w:r>
      <w:r>
        <w:rPr>
          <w:rFonts w:ascii="Times New Roman" w:eastAsia="Times New Roman" w:hAnsi="Times New Roman" w:cs="Times New Roman"/>
          <w:sz w:val="24"/>
          <w:szCs w:val="24"/>
          <w:lang w:eastAsia="tr-TR"/>
        </w:rPr>
        <w:t>.</w:t>
      </w:r>
      <w:r w:rsidR="00793CEE">
        <w:rPr>
          <w:rFonts w:ascii="Times New Roman" w:eastAsia="Times New Roman" w:hAnsi="Times New Roman" w:cs="Times New Roman"/>
          <w:sz w:val="24"/>
          <w:szCs w:val="24"/>
          <w:lang w:eastAsia="tr-TR"/>
        </w:rPr>
        <w:t xml:space="preserve"> F</w:t>
      </w:r>
      <w:r w:rsidR="002D5A7B" w:rsidRPr="0063720E">
        <w:rPr>
          <w:rFonts w:ascii="Times New Roman" w:eastAsia="Times New Roman" w:hAnsi="Times New Roman" w:cs="Times New Roman"/>
          <w:sz w:val="24"/>
          <w:szCs w:val="24"/>
          <w:lang w:eastAsia="tr-TR"/>
        </w:rPr>
        <w:t>aiz giderlerinin tahmininde</w:t>
      </w:r>
      <w:r w:rsidR="00793CEE">
        <w:rPr>
          <w:rFonts w:ascii="Times New Roman" w:eastAsia="Times New Roman" w:hAnsi="Times New Roman" w:cs="Times New Roman"/>
          <w:sz w:val="24"/>
          <w:szCs w:val="24"/>
          <w:lang w:eastAsia="tr-TR"/>
        </w:rPr>
        <w:t>,</w:t>
      </w:r>
      <w:r w:rsidR="002D5A7B" w:rsidRPr="0063720E">
        <w:rPr>
          <w:rFonts w:ascii="Times New Roman" w:eastAsia="Times New Roman" w:hAnsi="Times New Roman" w:cs="Times New Roman"/>
          <w:sz w:val="24"/>
          <w:szCs w:val="24"/>
          <w:lang w:eastAsia="tr-TR"/>
        </w:rPr>
        <w:t xml:space="preserve"> borç stokunun yapısı ve seyri, ulusal ve uluslararası piyasalardaki dalgalanmaların faiz giderlerine olası etkileri dikkate alınmıştır.</w:t>
      </w:r>
      <w:r w:rsidR="002D5A7B" w:rsidRPr="00932F51">
        <w:rPr>
          <w:rFonts w:ascii="Times New Roman" w:eastAsia="Times New Roman" w:hAnsi="Times New Roman" w:cs="Times New Roman"/>
          <w:sz w:val="24"/>
          <w:szCs w:val="24"/>
          <w:lang w:eastAsia="tr-TR"/>
        </w:rPr>
        <w:t xml:space="preserve"> </w:t>
      </w:r>
    </w:p>
    <w:p w:rsidR="002D5A7B" w:rsidRPr="00CA1E9A" w:rsidRDefault="003F7DA1"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D61DB7">
        <w:rPr>
          <w:rFonts w:ascii="Times New Roman" w:eastAsia="Times New Roman" w:hAnsi="Times New Roman" w:cs="Times New Roman"/>
          <w:sz w:val="24"/>
          <w:szCs w:val="24"/>
          <w:lang w:eastAsia="tr-TR"/>
        </w:rPr>
        <w:t>9</w:t>
      </w:r>
      <w:r>
        <w:rPr>
          <w:rFonts w:ascii="Times New Roman" w:eastAsia="Times New Roman" w:hAnsi="Times New Roman" w:cs="Times New Roman"/>
          <w:sz w:val="24"/>
          <w:szCs w:val="24"/>
          <w:lang w:eastAsia="tr-TR"/>
        </w:rPr>
        <w:t xml:space="preserve">. </w:t>
      </w:r>
      <w:r w:rsidR="002D5A7B" w:rsidRPr="00CA1E9A">
        <w:rPr>
          <w:rFonts w:ascii="Times New Roman" w:eastAsia="Times New Roman" w:hAnsi="Times New Roman" w:cs="Times New Roman"/>
          <w:sz w:val="24"/>
          <w:szCs w:val="24"/>
          <w:lang w:eastAsia="tr-TR"/>
        </w:rPr>
        <w:t>Yukarıda yapılan açıklamalar çerçevesinde 201</w:t>
      </w:r>
      <w:r w:rsidR="00654A46" w:rsidRPr="00CA1E9A">
        <w:rPr>
          <w:rFonts w:ascii="Times New Roman" w:eastAsia="Times New Roman" w:hAnsi="Times New Roman" w:cs="Times New Roman"/>
          <w:sz w:val="24"/>
          <w:szCs w:val="24"/>
          <w:lang w:eastAsia="tr-TR"/>
        </w:rPr>
        <w:t>8</w:t>
      </w:r>
      <w:r w:rsidR="002D5A7B" w:rsidRPr="00CA1E9A">
        <w:rPr>
          <w:rFonts w:ascii="Times New Roman" w:eastAsia="Times New Roman" w:hAnsi="Times New Roman" w:cs="Times New Roman"/>
          <w:sz w:val="24"/>
          <w:szCs w:val="24"/>
          <w:lang w:eastAsia="tr-TR"/>
        </w:rPr>
        <w:t>-20</w:t>
      </w:r>
      <w:r w:rsidR="00654A46" w:rsidRPr="00CA1E9A">
        <w:rPr>
          <w:rFonts w:ascii="Times New Roman" w:eastAsia="Times New Roman" w:hAnsi="Times New Roman" w:cs="Times New Roman"/>
          <w:sz w:val="24"/>
          <w:szCs w:val="24"/>
          <w:lang w:eastAsia="tr-TR"/>
        </w:rPr>
        <w:t>20</w:t>
      </w:r>
      <w:r w:rsidR="002D5A7B" w:rsidRPr="00CA1E9A">
        <w:rPr>
          <w:rFonts w:ascii="Times New Roman" w:eastAsia="Times New Roman" w:hAnsi="Times New Roman" w:cs="Times New Roman"/>
          <w:sz w:val="24"/>
          <w:szCs w:val="24"/>
          <w:lang w:eastAsia="tr-TR"/>
        </w:rPr>
        <w:t xml:space="preserve"> dönemi merkezi yönetim bütçe giderleri Tablo 4’te yer aldığı şekilde belirlenmiştir.</w:t>
      </w:r>
      <w:r w:rsidR="00085B39" w:rsidRPr="00CA1E9A">
        <w:rPr>
          <w:rFonts w:ascii="Times New Roman" w:eastAsia="Times New Roman" w:hAnsi="Times New Roman" w:cs="Times New Roman"/>
          <w:sz w:val="24"/>
          <w:szCs w:val="24"/>
          <w:lang w:eastAsia="tr-TR"/>
        </w:rPr>
        <w:t xml:space="preserve"> </w:t>
      </w:r>
    </w:p>
    <w:p w:rsidR="002D5A7B" w:rsidRPr="00932F51" w:rsidRDefault="002D5A7B" w:rsidP="00933401">
      <w:pPr>
        <w:spacing w:after="120"/>
        <w:ind w:firstLine="567"/>
        <w:jc w:val="both"/>
        <w:outlineLvl w:val="0"/>
        <w:rPr>
          <w:rFonts w:ascii="Times New Roman" w:eastAsia="Times New Roman" w:hAnsi="Times New Roman" w:cs="Times New Roman"/>
          <w:sz w:val="24"/>
          <w:szCs w:val="24"/>
          <w:lang w:eastAsia="tr-TR"/>
        </w:rPr>
      </w:pPr>
      <w:r w:rsidRPr="00932F51">
        <w:rPr>
          <w:rFonts w:ascii="Times New Roman" w:eastAsia="Times New Roman" w:hAnsi="Times New Roman" w:cs="Times New Roman"/>
          <w:b/>
          <w:sz w:val="24"/>
          <w:szCs w:val="24"/>
          <w:lang w:eastAsia="tr-TR"/>
        </w:rPr>
        <w:t>Tablo 4- Ekonomik Sınıflandırma Bazında Merkezi Yönetim Bütçe Giderleri</w:t>
      </w:r>
    </w:p>
    <w:tbl>
      <w:tblPr>
        <w:tblW w:w="8505" w:type="dxa"/>
        <w:jc w:val="center"/>
        <w:tblCellMar>
          <w:left w:w="70" w:type="dxa"/>
          <w:right w:w="70" w:type="dxa"/>
        </w:tblCellMar>
        <w:tblLook w:val="00A0" w:firstRow="1" w:lastRow="0" w:firstColumn="1" w:lastColumn="0" w:noHBand="0" w:noVBand="0"/>
      </w:tblPr>
      <w:tblGrid>
        <w:gridCol w:w="5511"/>
        <w:gridCol w:w="998"/>
        <w:gridCol w:w="998"/>
        <w:gridCol w:w="998"/>
      </w:tblGrid>
      <w:tr w:rsidR="00932F51" w:rsidRPr="00932F51" w:rsidTr="00911D3E">
        <w:trPr>
          <w:trHeight w:val="20"/>
          <w:jc w:val="center"/>
        </w:trPr>
        <w:tc>
          <w:tcPr>
            <w:tcW w:w="5511" w:type="dxa"/>
            <w:tcBorders>
              <w:top w:val="single" w:sz="8" w:space="0" w:color="auto"/>
              <w:left w:val="single" w:sz="8" w:space="0" w:color="auto"/>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(Milyon TL)</w:t>
            </w:r>
          </w:p>
        </w:tc>
        <w:tc>
          <w:tcPr>
            <w:tcW w:w="998" w:type="dxa"/>
            <w:tcBorders>
              <w:top w:val="single" w:sz="8" w:space="0" w:color="auto"/>
              <w:left w:val="nil"/>
              <w:bottom w:val="single" w:sz="8" w:space="0" w:color="auto"/>
              <w:right w:val="single" w:sz="8" w:space="0" w:color="auto"/>
            </w:tcBorders>
            <w:vAlign w:val="center"/>
            <w:hideMark/>
          </w:tcPr>
          <w:p w:rsidR="002D5A7B" w:rsidRPr="00CA1E9A" w:rsidRDefault="002D5A7B" w:rsidP="00343066">
            <w:pPr>
              <w:spacing w:after="0"/>
              <w:jc w:val="center"/>
              <w:rPr>
                <w:rFonts w:ascii="Times New Roman" w:eastAsia="Times New Roman" w:hAnsi="Times New Roman" w:cs="Times New Roman"/>
                <w:b/>
                <w:bCs/>
                <w:sz w:val="24"/>
                <w:szCs w:val="24"/>
                <w:lang w:eastAsia="tr-TR"/>
              </w:rPr>
            </w:pPr>
            <w:r w:rsidRPr="00CA1E9A">
              <w:rPr>
                <w:rFonts w:ascii="Times New Roman" w:eastAsia="Times New Roman" w:hAnsi="Times New Roman" w:cs="Times New Roman"/>
                <w:b/>
                <w:bCs/>
                <w:sz w:val="24"/>
                <w:szCs w:val="24"/>
                <w:lang w:eastAsia="tr-TR"/>
              </w:rPr>
              <w:t>201</w:t>
            </w:r>
            <w:r w:rsidR="00343066" w:rsidRPr="00CA1E9A">
              <w:rPr>
                <w:rFonts w:ascii="Times New Roman" w:eastAsia="Times New Roman" w:hAnsi="Times New Roman" w:cs="Times New Roman"/>
                <w:b/>
                <w:bCs/>
                <w:sz w:val="24"/>
                <w:szCs w:val="24"/>
                <w:lang w:eastAsia="tr-TR"/>
              </w:rPr>
              <w:t>8</w:t>
            </w:r>
          </w:p>
        </w:tc>
        <w:tc>
          <w:tcPr>
            <w:tcW w:w="998" w:type="dxa"/>
            <w:tcBorders>
              <w:top w:val="single" w:sz="8" w:space="0" w:color="auto"/>
              <w:left w:val="nil"/>
              <w:bottom w:val="single" w:sz="8" w:space="0" w:color="auto"/>
              <w:right w:val="single" w:sz="8" w:space="0" w:color="auto"/>
            </w:tcBorders>
            <w:vAlign w:val="center"/>
            <w:hideMark/>
          </w:tcPr>
          <w:p w:rsidR="002D5A7B" w:rsidRPr="00CA1E9A" w:rsidRDefault="002D5A7B" w:rsidP="00343066">
            <w:pPr>
              <w:spacing w:after="0"/>
              <w:jc w:val="center"/>
              <w:rPr>
                <w:rFonts w:ascii="Times New Roman" w:eastAsia="Times New Roman" w:hAnsi="Times New Roman" w:cs="Times New Roman"/>
                <w:b/>
                <w:bCs/>
                <w:sz w:val="24"/>
                <w:szCs w:val="24"/>
                <w:lang w:eastAsia="tr-TR"/>
              </w:rPr>
            </w:pPr>
            <w:r w:rsidRPr="00CA1E9A">
              <w:rPr>
                <w:rFonts w:ascii="Times New Roman" w:eastAsia="Times New Roman" w:hAnsi="Times New Roman" w:cs="Times New Roman"/>
                <w:b/>
                <w:bCs/>
                <w:sz w:val="24"/>
                <w:szCs w:val="24"/>
                <w:lang w:eastAsia="tr-TR"/>
              </w:rPr>
              <w:t>201</w:t>
            </w:r>
            <w:r w:rsidR="00343066" w:rsidRPr="00CA1E9A">
              <w:rPr>
                <w:rFonts w:ascii="Times New Roman" w:eastAsia="Times New Roman" w:hAnsi="Times New Roman" w:cs="Times New Roman"/>
                <w:b/>
                <w:bCs/>
                <w:sz w:val="24"/>
                <w:szCs w:val="24"/>
                <w:lang w:eastAsia="tr-TR"/>
              </w:rPr>
              <w:t>9</w:t>
            </w:r>
          </w:p>
        </w:tc>
        <w:tc>
          <w:tcPr>
            <w:tcW w:w="998" w:type="dxa"/>
            <w:tcBorders>
              <w:top w:val="single" w:sz="8" w:space="0" w:color="auto"/>
              <w:left w:val="nil"/>
              <w:bottom w:val="single" w:sz="8" w:space="0" w:color="auto"/>
              <w:right w:val="single" w:sz="8" w:space="0" w:color="auto"/>
            </w:tcBorders>
            <w:vAlign w:val="center"/>
            <w:hideMark/>
          </w:tcPr>
          <w:p w:rsidR="002D5A7B" w:rsidRPr="00CA1E9A" w:rsidRDefault="002D5A7B" w:rsidP="00343066">
            <w:pPr>
              <w:spacing w:after="0"/>
              <w:jc w:val="center"/>
              <w:rPr>
                <w:rFonts w:ascii="Times New Roman" w:eastAsia="Times New Roman" w:hAnsi="Times New Roman" w:cs="Times New Roman"/>
                <w:b/>
                <w:bCs/>
                <w:sz w:val="24"/>
                <w:szCs w:val="24"/>
                <w:lang w:eastAsia="tr-TR"/>
              </w:rPr>
            </w:pPr>
            <w:r w:rsidRPr="00CA1E9A">
              <w:rPr>
                <w:rFonts w:ascii="Times New Roman" w:eastAsia="Times New Roman" w:hAnsi="Times New Roman" w:cs="Times New Roman"/>
                <w:b/>
                <w:bCs/>
                <w:sz w:val="24"/>
                <w:szCs w:val="24"/>
                <w:lang w:eastAsia="tr-TR"/>
              </w:rPr>
              <w:t>20</w:t>
            </w:r>
            <w:r w:rsidR="00343066" w:rsidRPr="00CA1E9A">
              <w:rPr>
                <w:rFonts w:ascii="Times New Roman" w:eastAsia="Times New Roman" w:hAnsi="Times New Roman" w:cs="Times New Roman"/>
                <w:b/>
                <w:bCs/>
                <w:sz w:val="24"/>
                <w:szCs w:val="24"/>
                <w:lang w:eastAsia="tr-TR"/>
              </w:rPr>
              <w:t>20</w:t>
            </w:r>
          </w:p>
        </w:tc>
      </w:tr>
      <w:tr w:rsidR="004C49DD" w:rsidRPr="00932F51" w:rsidTr="00957E01">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4C49DD" w:rsidRPr="00932F51" w:rsidRDefault="004C49DD"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Giderleri</w:t>
            </w:r>
          </w:p>
        </w:tc>
        <w:tc>
          <w:tcPr>
            <w:tcW w:w="998" w:type="dxa"/>
            <w:tcBorders>
              <w:top w:val="nil"/>
              <w:left w:val="nil"/>
              <w:bottom w:val="single" w:sz="4" w:space="0" w:color="auto"/>
              <w:right w:val="single" w:sz="8" w:space="0" w:color="auto"/>
            </w:tcBorders>
            <w:vAlign w:val="bottom"/>
          </w:tcPr>
          <w:p w:rsidR="004C49DD" w:rsidRPr="00CA1E9A" w:rsidRDefault="004C49DD" w:rsidP="00933401">
            <w:pPr>
              <w:spacing w:after="0"/>
              <w:jc w:val="right"/>
              <w:rPr>
                <w:rFonts w:ascii="Times New Roman" w:eastAsia="Times New Roman" w:hAnsi="Times New Roman" w:cs="Times New Roman"/>
                <w:b/>
                <w:sz w:val="24"/>
                <w:szCs w:val="24"/>
                <w:lang w:eastAsia="tr-TR"/>
              </w:rPr>
            </w:pPr>
            <w:r w:rsidRPr="004C49DD">
              <w:rPr>
                <w:rFonts w:ascii="Times New Roman" w:eastAsia="Times New Roman" w:hAnsi="Times New Roman" w:cs="Times New Roman"/>
                <w:b/>
                <w:sz w:val="24"/>
                <w:szCs w:val="24"/>
                <w:lang w:eastAsia="tr-TR"/>
              </w:rPr>
              <w:t>762.753</w:t>
            </w:r>
          </w:p>
        </w:tc>
        <w:tc>
          <w:tcPr>
            <w:tcW w:w="998" w:type="dxa"/>
            <w:tcBorders>
              <w:top w:val="nil"/>
              <w:left w:val="nil"/>
              <w:bottom w:val="single" w:sz="4" w:space="0" w:color="auto"/>
              <w:right w:val="single" w:sz="8" w:space="0" w:color="auto"/>
            </w:tcBorders>
          </w:tcPr>
          <w:p w:rsidR="004C49DD" w:rsidRPr="004C49DD" w:rsidRDefault="004C49DD" w:rsidP="004C49DD">
            <w:pPr>
              <w:spacing w:after="0"/>
              <w:jc w:val="right"/>
              <w:rPr>
                <w:rFonts w:ascii="Times New Roman" w:eastAsia="Times New Roman" w:hAnsi="Times New Roman" w:cs="Times New Roman"/>
                <w:b/>
                <w:sz w:val="24"/>
                <w:szCs w:val="24"/>
                <w:lang w:eastAsia="tr-TR"/>
              </w:rPr>
            </w:pPr>
            <w:r w:rsidRPr="004C49DD">
              <w:rPr>
                <w:rFonts w:ascii="Times New Roman" w:eastAsia="Times New Roman" w:hAnsi="Times New Roman" w:cs="Times New Roman"/>
                <w:b/>
                <w:sz w:val="24"/>
                <w:szCs w:val="24"/>
                <w:lang w:eastAsia="tr-TR"/>
              </w:rPr>
              <w:t>838.499</w:t>
            </w:r>
          </w:p>
        </w:tc>
        <w:tc>
          <w:tcPr>
            <w:tcW w:w="998" w:type="dxa"/>
            <w:tcBorders>
              <w:top w:val="nil"/>
              <w:left w:val="nil"/>
              <w:bottom w:val="single" w:sz="4" w:space="0" w:color="auto"/>
              <w:right w:val="single" w:sz="8" w:space="0" w:color="auto"/>
            </w:tcBorders>
          </w:tcPr>
          <w:p w:rsidR="004C49DD" w:rsidRPr="004C49DD" w:rsidRDefault="004C49DD" w:rsidP="004C49DD">
            <w:pPr>
              <w:spacing w:after="0"/>
              <w:jc w:val="right"/>
              <w:rPr>
                <w:rFonts w:ascii="Times New Roman" w:eastAsia="Times New Roman" w:hAnsi="Times New Roman" w:cs="Times New Roman"/>
                <w:b/>
                <w:sz w:val="24"/>
                <w:szCs w:val="24"/>
                <w:lang w:eastAsia="tr-TR"/>
              </w:rPr>
            </w:pPr>
            <w:r w:rsidRPr="004C49DD">
              <w:rPr>
                <w:rFonts w:ascii="Times New Roman" w:eastAsia="Times New Roman" w:hAnsi="Times New Roman" w:cs="Times New Roman"/>
                <w:b/>
                <w:sz w:val="24"/>
                <w:szCs w:val="24"/>
                <w:lang w:eastAsia="tr-TR"/>
              </w:rPr>
              <w:t>912.885</w:t>
            </w:r>
          </w:p>
        </w:tc>
      </w:tr>
      <w:tr w:rsidR="004C49DD" w:rsidRPr="00932F51" w:rsidTr="00324AD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4C49DD" w:rsidRPr="00932F51" w:rsidRDefault="004C49DD"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Dışı Giderler</w:t>
            </w:r>
          </w:p>
        </w:tc>
        <w:tc>
          <w:tcPr>
            <w:tcW w:w="998" w:type="dxa"/>
            <w:tcBorders>
              <w:top w:val="nil"/>
              <w:left w:val="nil"/>
              <w:bottom w:val="single" w:sz="4" w:space="0" w:color="auto"/>
              <w:right w:val="single" w:sz="8" w:space="0" w:color="auto"/>
            </w:tcBorders>
            <w:vAlign w:val="bottom"/>
          </w:tcPr>
          <w:p w:rsidR="004C49DD" w:rsidRPr="00CA1E9A" w:rsidRDefault="004C49DD" w:rsidP="00933401">
            <w:pPr>
              <w:spacing w:after="0"/>
              <w:jc w:val="right"/>
              <w:rPr>
                <w:rFonts w:ascii="Times New Roman" w:eastAsia="Times New Roman" w:hAnsi="Times New Roman" w:cs="Times New Roman"/>
                <w:b/>
                <w:sz w:val="24"/>
                <w:szCs w:val="24"/>
                <w:lang w:eastAsia="tr-TR"/>
              </w:rPr>
            </w:pPr>
            <w:r w:rsidRPr="004C49DD">
              <w:rPr>
                <w:rFonts w:ascii="Times New Roman" w:eastAsia="Times New Roman" w:hAnsi="Times New Roman" w:cs="Times New Roman"/>
                <w:b/>
                <w:sz w:val="24"/>
                <w:szCs w:val="24"/>
                <w:lang w:eastAsia="tr-TR"/>
              </w:rPr>
              <w:t>691.053</w:t>
            </w:r>
          </w:p>
        </w:tc>
        <w:tc>
          <w:tcPr>
            <w:tcW w:w="998" w:type="dxa"/>
            <w:tcBorders>
              <w:top w:val="nil"/>
              <w:left w:val="nil"/>
              <w:bottom w:val="single" w:sz="4" w:space="0" w:color="auto"/>
              <w:right w:val="single" w:sz="8" w:space="0" w:color="auto"/>
            </w:tcBorders>
          </w:tcPr>
          <w:p w:rsidR="004C49DD" w:rsidRPr="004C49DD" w:rsidRDefault="004C49DD" w:rsidP="004C49DD">
            <w:pPr>
              <w:spacing w:after="0"/>
              <w:jc w:val="right"/>
              <w:rPr>
                <w:rFonts w:ascii="Times New Roman" w:eastAsia="Times New Roman" w:hAnsi="Times New Roman" w:cs="Times New Roman"/>
                <w:b/>
                <w:sz w:val="24"/>
                <w:szCs w:val="24"/>
                <w:lang w:eastAsia="tr-TR"/>
              </w:rPr>
            </w:pPr>
            <w:r w:rsidRPr="004C49DD">
              <w:rPr>
                <w:rFonts w:ascii="Times New Roman" w:eastAsia="Times New Roman" w:hAnsi="Times New Roman" w:cs="Times New Roman"/>
                <w:b/>
                <w:sz w:val="24"/>
                <w:szCs w:val="24"/>
                <w:lang w:eastAsia="tr-TR"/>
              </w:rPr>
              <w:t>753.499</w:t>
            </w:r>
          </w:p>
        </w:tc>
        <w:tc>
          <w:tcPr>
            <w:tcW w:w="998" w:type="dxa"/>
            <w:tcBorders>
              <w:top w:val="nil"/>
              <w:left w:val="nil"/>
              <w:bottom w:val="single" w:sz="4" w:space="0" w:color="auto"/>
              <w:right w:val="single" w:sz="8" w:space="0" w:color="auto"/>
            </w:tcBorders>
          </w:tcPr>
          <w:p w:rsidR="004C49DD" w:rsidRPr="004C49DD" w:rsidRDefault="004C49DD" w:rsidP="004C49DD">
            <w:pPr>
              <w:spacing w:after="0"/>
              <w:jc w:val="right"/>
              <w:rPr>
                <w:rFonts w:ascii="Times New Roman" w:eastAsia="Times New Roman" w:hAnsi="Times New Roman" w:cs="Times New Roman"/>
                <w:b/>
                <w:sz w:val="24"/>
                <w:szCs w:val="24"/>
                <w:lang w:eastAsia="tr-TR"/>
              </w:rPr>
            </w:pPr>
            <w:r w:rsidRPr="004C49DD">
              <w:rPr>
                <w:rFonts w:ascii="Times New Roman" w:eastAsia="Times New Roman" w:hAnsi="Times New Roman" w:cs="Times New Roman"/>
                <w:b/>
                <w:sz w:val="24"/>
                <w:szCs w:val="24"/>
                <w:lang w:eastAsia="tr-TR"/>
              </w:rPr>
              <w:t>816.885</w:t>
            </w:r>
          </w:p>
        </w:tc>
      </w:tr>
      <w:tr w:rsidR="00CA1E9A" w:rsidRPr="00932F51" w:rsidTr="00970F96">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Personel Giderleri</w:t>
            </w:r>
          </w:p>
        </w:tc>
        <w:tc>
          <w:tcPr>
            <w:tcW w:w="998" w:type="dxa"/>
            <w:tcBorders>
              <w:top w:val="nil"/>
              <w:left w:val="nil"/>
              <w:bottom w:val="single" w:sz="4" w:space="0" w:color="auto"/>
              <w:right w:val="single" w:sz="8" w:space="0" w:color="auto"/>
            </w:tcBorders>
            <w:vAlign w:val="bottom"/>
          </w:tcPr>
          <w:p w:rsidR="00CA1E9A" w:rsidRPr="0063343C" w:rsidRDefault="00CA1E9A" w:rsidP="00933401">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183.127</w:t>
            </w:r>
          </w:p>
        </w:tc>
        <w:tc>
          <w:tcPr>
            <w:tcW w:w="998" w:type="dxa"/>
            <w:tcBorders>
              <w:top w:val="nil"/>
              <w:left w:val="nil"/>
              <w:bottom w:val="single" w:sz="4"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200.667</w:t>
            </w:r>
          </w:p>
        </w:tc>
        <w:tc>
          <w:tcPr>
            <w:tcW w:w="998" w:type="dxa"/>
            <w:tcBorders>
              <w:top w:val="nil"/>
              <w:left w:val="nil"/>
              <w:bottom w:val="single" w:sz="4"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217.591</w:t>
            </w:r>
          </w:p>
        </w:tc>
      </w:tr>
      <w:tr w:rsidR="00CA1E9A" w:rsidRPr="00932F51" w:rsidTr="00F51978">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Sosyal Güvenlik Kurumlarına Devlet Primi Giderleri</w:t>
            </w:r>
          </w:p>
        </w:tc>
        <w:tc>
          <w:tcPr>
            <w:tcW w:w="998" w:type="dxa"/>
            <w:tcBorders>
              <w:top w:val="nil"/>
              <w:left w:val="nil"/>
              <w:bottom w:val="single" w:sz="4" w:space="0" w:color="auto"/>
              <w:right w:val="single" w:sz="8" w:space="0" w:color="auto"/>
            </w:tcBorders>
            <w:vAlign w:val="bottom"/>
          </w:tcPr>
          <w:p w:rsidR="00CA1E9A" w:rsidRPr="0063343C" w:rsidRDefault="00CA1E9A" w:rsidP="00933401">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30.792</w:t>
            </w:r>
          </w:p>
        </w:tc>
        <w:tc>
          <w:tcPr>
            <w:tcW w:w="998" w:type="dxa"/>
            <w:tcBorders>
              <w:top w:val="nil"/>
              <w:left w:val="nil"/>
              <w:bottom w:val="single" w:sz="4"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33.719</w:t>
            </w:r>
          </w:p>
        </w:tc>
        <w:tc>
          <w:tcPr>
            <w:tcW w:w="998" w:type="dxa"/>
            <w:tcBorders>
              <w:top w:val="nil"/>
              <w:left w:val="nil"/>
              <w:bottom w:val="single" w:sz="4"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36.551</w:t>
            </w:r>
          </w:p>
        </w:tc>
      </w:tr>
      <w:tr w:rsidR="00CA1E9A" w:rsidRPr="00932F51" w:rsidTr="009A6C55">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Mal ve Hizmet Alım Giderleri</w:t>
            </w:r>
          </w:p>
        </w:tc>
        <w:tc>
          <w:tcPr>
            <w:tcW w:w="998" w:type="dxa"/>
            <w:tcBorders>
              <w:top w:val="nil"/>
              <w:left w:val="nil"/>
              <w:bottom w:val="single" w:sz="4" w:space="0" w:color="auto"/>
              <w:right w:val="single" w:sz="8" w:space="0" w:color="auto"/>
            </w:tcBorders>
            <w:vAlign w:val="bottom"/>
          </w:tcPr>
          <w:p w:rsidR="00CA1E9A" w:rsidRPr="0063343C" w:rsidRDefault="00CA1E9A" w:rsidP="00D61DB7">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6</w:t>
            </w:r>
            <w:r w:rsidR="00D61DB7">
              <w:rPr>
                <w:rFonts w:ascii="Times New Roman" w:eastAsia="Times New Roman" w:hAnsi="Times New Roman" w:cs="Times New Roman"/>
                <w:sz w:val="24"/>
                <w:szCs w:val="24"/>
                <w:lang w:eastAsia="tr-TR"/>
              </w:rPr>
              <w:t>6</w:t>
            </w:r>
            <w:r w:rsidRPr="00CA1E9A">
              <w:rPr>
                <w:rFonts w:ascii="Times New Roman" w:eastAsia="Times New Roman" w:hAnsi="Times New Roman" w:cs="Times New Roman"/>
                <w:sz w:val="24"/>
                <w:szCs w:val="24"/>
                <w:lang w:eastAsia="tr-TR"/>
              </w:rPr>
              <w:t>.</w:t>
            </w:r>
            <w:r w:rsidR="00D61DB7">
              <w:rPr>
                <w:rFonts w:ascii="Times New Roman" w:eastAsia="Times New Roman" w:hAnsi="Times New Roman" w:cs="Times New Roman"/>
                <w:sz w:val="24"/>
                <w:szCs w:val="24"/>
                <w:lang w:eastAsia="tr-TR"/>
              </w:rPr>
              <w:t>069</w:t>
            </w:r>
          </w:p>
        </w:tc>
        <w:tc>
          <w:tcPr>
            <w:tcW w:w="998" w:type="dxa"/>
            <w:tcBorders>
              <w:top w:val="nil"/>
              <w:left w:val="nil"/>
              <w:bottom w:val="single" w:sz="4" w:space="0" w:color="auto"/>
              <w:right w:val="single" w:sz="8" w:space="0" w:color="auto"/>
            </w:tcBorders>
          </w:tcPr>
          <w:p w:rsidR="00CA1E9A" w:rsidRPr="00CA1E9A" w:rsidRDefault="00CA1E9A" w:rsidP="00D61DB7">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68.</w:t>
            </w:r>
            <w:r w:rsidR="00D61DB7">
              <w:rPr>
                <w:rFonts w:ascii="Times New Roman" w:eastAsia="Times New Roman" w:hAnsi="Times New Roman" w:cs="Times New Roman"/>
                <w:sz w:val="24"/>
                <w:szCs w:val="24"/>
                <w:lang w:eastAsia="tr-TR"/>
              </w:rPr>
              <w:t>625</w:t>
            </w:r>
          </w:p>
        </w:tc>
        <w:tc>
          <w:tcPr>
            <w:tcW w:w="998" w:type="dxa"/>
            <w:tcBorders>
              <w:top w:val="nil"/>
              <w:left w:val="nil"/>
              <w:bottom w:val="single" w:sz="4" w:space="0" w:color="auto"/>
              <w:right w:val="single" w:sz="8" w:space="0" w:color="auto"/>
            </w:tcBorders>
          </w:tcPr>
          <w:p w:rsidR="00CA1E9A" w:rsidRPr="00CA1E9A" w:rsidRDefault="00CA1E9A" w:rsidP="00D61DB7">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73.</w:t>
            </w:r>
            <w:r w:rsidR="00D61DB7">
              <w:rPr>
                <w:rFonts w:ascii="Times New Roman" w:eastAsia="Times New Roman" w:hAnsi="Times New Roman" w:cs="Times New Roman"/>
                <w:sz w:val="24"/>
                <w:szCs w:val="24"/>
                <w:lang w:eastAsia="tr-TR"/>
              </w:rPr>
              <w:t>666</w:t>
            </w:r>
          </w:p>
        </w:tc>
      </w:tr>
      <w:tr w:rsidR="004C49DD" w:rsidRPr="00932F51" w:rsidTr="00B44412">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4C49DD" w:rsidRPr="00932F51" w:rsidRDefault="004C49DD"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Cari Transferler</w:t>
            </w:r>
          </w:p>
        </w:tc>
        <w:tc>
          <w:tcPr>
            <w:tcW w:w="998" w:type="dxa"/>
            <w:tcBorders>
              <w:top w:val="nil"/>
              <w:left w:val="nil"/>
              <w:bottom w:val="single" w:sz="4" w:space="0" w:color="auto"/>
              <w:right w:val="single" w:sz="8" w:space="0" w:color="auto"/>
            </w:tcBorders>
            <w:vAlign w:val="bottom"/>
          </w:tcPr>
          <w:p w:rsidR="004C49DD" w:rsidRPr="0063343C" w:rsidRDefault="004C49DD" w:rsidP="00933401">
            <w:pPr>
              <w:spacing w:after="0"/>
              <w:jc w:val="right"/>
              <w:rPr>
                <w:rFonts w:ascii="Times New Roman" w:eastAsia="Times New Roman" w:hAnsi="Times New Roman" w:cs="Times New Roman"/>
                <w:sz w:val="24"/>
                <w:szCs w:val="24"/>
                <w:lang w:eastAsia="tr-TR"/>
              </w:rPr>
            </w:pPr>
            <w:r w:rsidRPr="0037730F">
              <w:rPr>
                <w:rFonts w:ascii="Times New Roman" w:eastAsia="Times New Roman" w:hAnsi="Times New Roman" w:cs="Times New Roman"/>
                <w:sz w:val="24"/>
                <w:szCs w:val="24"/>
                <w:lang w:eastAsia="tr-TR"/>
              </w:rPr>
              <w:t>299.399</w:t>
            </w:r>
          </w:p>
        </w:tc>
        <w:tc>
          <w:tcPr>
            <w:tcW w:w="998" w:type="dxa"/>
            <w:tcBorders>
              <w:top w:val="nil"/>
              <w:left w:val="nil"/>
              <w:bottom w:val="single" w:sz="4" w:space="0" w:color="auto"/>
              <w:right w:val="single" w:sz="8" w:space="0" w:color="auto"/>
            </w:tcBorders>
          </w:tcPr>
          <w:p w:rsidR="004C49DD" w:rsidRPr="004C49DD" w:rsidRDefault="004C49DD" w:rsidP="004C49DD">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328.250</w:t>
            </w:r>
          </w:p>
        </w:tc>
        <w:tc>
          <w:tcPr>
            <w:tcW w:w="998" w:type="dxa"/>
            <w:tcBorders>
              <w:top w:val="nil"/>
              <w:left w:val="nil"/>
              <w:bottom w:val="single" w:sz="4" w:space="0" w:color="auto"/>
              <w:right w:val="single" w:sz="8" w:space="0" w:color="auto"/>
            </w:tcBorders>
            <w:shd w:val="clear" w:color="auto" w:fill="auto"/>
          </w:tcPr>
          <w:p w:rsidR="004C49DD" w:rsidRPr="004C49DD" w:rsidRDefault="004C49DD" w:rsidP="004C49DD">
            <w:pPr>
              <w:spacing w:after="0"/>
              <w:jc w:val="right"/>
              <w:rPr>
                <w:rFonts w:ascii="Times New Roman" w:eastAsia="Times New Roman" w:hAnsi="Times New Roman" w:cs="Times New Roman"/>
                <w:sz w:val="24"/>
                <w:szCs w:val="24"/>
                <w:lang w:eastAsia="tr-TR"/>
              </w:rPr>
            </w:pPr>
            <w:r w:rsidRPr="004C49DD">
              <w:rPr>
                <w:rFonts w:ascii="Times New Roman" w:eastAsia="Times New Roman" w:hAnsi="Times New Roman" w:cs="Times New Roman"/>
                <w:sz w:val="24"/>
                <w:szCs w:val="24"/>
                <w:lang w:eastAsia="tr-TR"/>
              </w:rPr>
              <w:t>354.591</w:t>
            </w:r>
          </w:p>
        </w:tc>
      </w:tr>
      <w:tr w:rsidR="00CA1E9A" w:rsidRPr="00932F51" w:rsidTr="004061E7">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Giderleri</w:t>
            </w:r>
          </w:p>
        </w:tc>
        <w:tc>
          <w:tcPr>
            <w:tcW w:w="998" w:type="dxa"/>
            <w:tcBorders>
              <w:top w:val="nil"/>
              <w:left w:val="nil"/>
              <w:bottom w:val="single" w:sz="4" w:space="0" w:color="auto"/>
              <w:right w:val="single" w:sz="8" w:space="0" w:color="auto"/>
            </w:tcBorders>
            <w:vAlign w:val="bottom"/>
          </w:tcPr>
          <w:p w:rsidR="00CA1E9A" w:rsidRPr="0063343C" w:rsidRDefault="00CA1E9A" w:rsidP="00933401">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68.794</w:t>
            </w:r>
          </w:p>
        </w:tc>
        <w:tc>
          <w:tcPr>
            <w:tcW w:w="998" w:type="dxa"/>
            <w:tcBorders>
              <w:top w:val="nil"/>
              <w:left w:val="nil"/>
              <w:bottom w:val="single" w:sz="4"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79.507</w:t>
            </w:r>
          </w:p>
        </w:tc>
        <w:tc>
          <w:tcPr>
            <w:tcW w:w="998" w:type="dxa"/>
            <w:tcBorders>
              <w:top w:val="nil"/>
              <w:left w:val="nil"/>
              <w:bottom w:val="single" w:sz="4"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90.634</w:t>
            </w:r>
          </w:p>
        </w:tc>
      </w:tr>
      <w:tr w:rsidR="00CA1E9A" w:rsidRPr="00932F51" w:rsidTr="00AD6BF0">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Transferleri</w:t>
            </w:r>
          </w:p>
        </w:tc>
        <w:tc>
          <w:tcPr>
            <w:tcW w:w="998" w:type="dxa"/>
            <w:tcBorders>
              <w:top w:val="nil"/>
              <w:left w:val="nil"/>
              <w:bottom w:val="single" w:sz="4" w:space="0" w:color="auto"/>
              <w:right w:val="single" w:sz="8" w:space="0" w:color="auto"/>
            </w:tcBorders>
            <w:vAlign w:val="bottom"/>
          </w:tcPr>
          <w:p w:rsidR="00CA1E9A" w:rsidRPr="0063343C" w:rsidRDefault="00CA1E9A" w:rsidP="00933401">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15.324</w:t>
            </w:r>
          </w:p>
        </w:tc>
        <w:tc>
          <w:tcPr>
            <w:tcW w:w="998" w:type="dxa"/>
            <w:tcBorders>
              <w:top w:val="nil"/>
              <w:left w:val="nil"/>
              <w:bottom w:val="single" w:sz="4"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16.767</w:t>
            </w:r>
          </w:p>
        </w:tc>
        <w:tc>
          <w:tcPr>
            <w:tcW w:w="998" w:type="dxa"/>
            <w:tcBorders>
              <w:top w:val="nil"/>
              <w:left w:val="nil"/>
              <w:bottom w:val="single" w:sz="4"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19.043</w:t>
            </w:r>
          </w:p>
        </w:tc>
      </w:tr>
      <w:tr w:rsidR="00CA1E9A" w:rsidRPr="00932F51" w:rsidTr="00945F8E">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Borç Verme</w:t>
            </w:r>
          </w:p>
        </w:tc>
        <w:tc>
          <w:tcPr>
            <w:tcW w:w="998" w:type="dxa"/>
            <w:tcBorders>
              <w:top w:val="nil"/>
              <w:left w:val="nil"/>
              <w:bottom w:val="single" w:sz="4" w:space="0" w:color="auto"/>
              <w:right w:val="single" w:sz="8" w:space="0" w:color="auto"/>
            </w:tcBorders>
            <w:vAlign w:val="bottom"/>
          </w:tcPr>
          <w:p w:rsidR="00CA1E9A" w:rsidRPr="0063343C" w:rsidRDefault="00CA1E9A" w:rsidP="00933401">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20.231</w:t>
            </w:r>
          </w:p>
        </w:tc>
        <w:tc>
          <w:tcPr>
            <w:tcW w:w="998" w:type="dxa"/>
            <w:tcBorders>
              <w:top w:val="nil"/>
              <w:left w:val="nil"/>
              <w:bottom w:val="single" w:sz="4"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19.646</w:t>
            </w:r>
          </w:p>
        </w:tc>
        <w:tc>
          <w:tcPr>
            <w:tcW w:w="998" w:type="dxa"/>
            <w:tcBorders>
              <w:top w:val="nil"/>
              <w:left w:val="nil"/>
              <w:bottom w:val="single" w:sz="4"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18.135</w:t>
            </w:r>
          </w:p>
        </w:tc>
      </w:tr>
      <w:tr w:rsidR="00CA1E9A" w:rsidRPr="00932F51" w:rsidTr="00C82013">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Yedek Ödenek</w:t>
            </w:r>
          </w:p>
        </w:tc>
        <w:tc>
          <w:tcPr>
            <w:tcW w:w="998" w:type="dxa"/>
            <w:tcBorders>
              <w:top w:val="nil"/>
              <w:left w:val="nil"/>
              <w:bottom w:val="single" w:sz="4" w:space="0" w:color="auto"/>
              <w:right w:val="single" w:sz="8" w:space="0" w:color="auto"/>
            </w:tcBorders>
            <w:vAlign w:val="bottom"/>
          </w:tcPr>
          <w:p w:rsidR="00CA1E9A" w:rsidRPr="0063343C" w:rsidRDefault="00CA1E9A" w:rsidP="00D61DB7">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7.</w:t>
            </w:r>
            <w:r w:rsidR="00D61DB7">
              <w:rPr>
                <w:rFonts w:ascii="Times New Roman" w:eastAsia="Times New Roman" w:hAnsi="Times New Roman" w:cs="Times New Roman"/>
                <w:sz w:val="24"/>
                <w:szCs w:val="24"/>
                <w:lang w:eastAsia="tr-TR"/>
              </w:rPr>
              <w:t>318</w:t>
            </w:r>
          </w:p>
        </w:tc>
        <w:tc>
          <w:tcPr>
            <w:tcW w:w="998" w:type="dxa"/>
            <w:tcBorders>
              <w:top w:val="nil"/>
              <w:left w:val="nil"/>
              <w:bottom w:val="single" w:sz="4" w:space="0" w:color="auto"/>
              <w:right w:val="single" w:sz="8" w:space="0" w:color="auto"/>
            </w:tcBorders>
          </w:tcPr>
          <w:p w:rsidR="00CA1E9A" w:rsidRPr="00CA1E9A" w:rsidRDefault="00CA1E9A" w:rsidP="00D61DB7">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6.</w:t>
            </w:r>
            <w:r w:rsidR="00D61DB7">
              <w:rPr>
                <w:rFonts w:ascii="Times New Roman" w:eastAsia="Times New Roman" w:hAnsi="Times New Roman" w:cs="Times New Roman"/>
                <w:sz w:val="24"/>
                <w:szCs w:val="24"/>
                <w:lang w:eastAsia="tr-TR"/>
              </w:rPr>
              <w:t>318</w:t>
            </w:r>
          </w:p>
        </w:tc>
        <w:tc>
          <w:tcPr>
            <w:tcW w:w="998" w:type="dxa"/>
            <w:tcBorders>
              <w:top w:val="nil"/>
              <w:left w:val="nil"/>
              <w:bottom w:val="single" w:sz="4" w:space="0" w:color="auto"/>
              <w:right w:val="single" w:sz="8" w:space="0" w:color="auto"/>
            </w:tcBorders>
          </w:tcPr>
          <w:p w:rsidR="00CA1E9A" w:rsidRPr="00CA1E9A" w:rsidRDefault="00CA1E9A" w:rsidP="00D61DB7">
            <w:pPr>
              <w:spacing w:after="0"/>
              <w:jc w:val="right"/>
              <w:rPr>
                <w:rFonts w:ascii="Times New Roman" w:eastAsia="Times New Roman" w:hAnsi="Times New Roman" w:cs="Times New Roman"/>
                <w:sz w:val="24"/>
                <w:szCs w:val="24"/>
                <w:lang w:eastAsia="tr-TR"/>
              </w:rPr>
            </w:pPr>
            <w:r w:rsidRPr="00CA1E9A">
              <w:rPr>
                <w:rFonts w:ascii="Times New Roman" w:eastAsia="Times New Roman" w:hAnsi="Times New Roman" w:cs="Times New Roman"/>
                <w:sz w:val="24"/>
                <w:szCs w:val="24"/>
                <w:lang w:eastAsia="tr-TR"/>
              </w:rPr>
              <w:t>6.</w:t>
            </w:r>
            <w:r w:rsidR="00D61DB7">
              <w:rPr>
                <w:rFonts w:ascii="Times New Roman" w:eastAsia="Times New Roman" w:hAnsi="Times New Roman" w:cs="Times New Roman"/>
                <w:sz w:val="24"/>
                <w:szCs w:val="24"/>
                <w:lang w:eastAsia="tr-TR"/>
              </w:rPr>
              <w:t>675</w:t>
            </w:r>
          </w:p>
        </w:tc>
      </w:tr>
      <w:tr w:rsidR="00CA1E9A" w:rsidRPr="00932F51" w:rsidTr="00045690">
        <w:trPr>
          <w:trHeight w:val="274"/>
          <w:jc w:val="center"/>
        </w:trPr>
        <w:tc>
          <w:tcPr>
            <w:tcW w:w="5511" w:type="dxa"/>
            <w:tcBorders>
              <w:top w:val="single" w:sz="4" w:space="0" w:color="auto"/>
              <w:left w:val="single" w:sz="8" w:space="0" w:color="auto"/>
              <w:bottom w:val="single" w:sz="8" w:space="0" w:color="auto"/>
              <w:right w:val="single" w:sz="8" w:space="0" w:color="auto"/>
            </w:tcBorders>
            <w:vAlign w:val="center"/>
            <w:hideMark/>
          </w:tcPr>
          <w:p w:rsidR="00CA1E9A" w:rsidRPr="00932F51" w:rsidRDefault="00CA1E9A"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Giderleri</w:t>
            </w:r>
          </w:p>
        </w:tc>
        <w:tc>
          <w:tcPr>
            <w:tcW w:w="998" w:type="dxa"/>
            <w:tcBorders>
              <w:top w:val="single" w:sz="4" w:space="0" w:color="auto"/>
              <w:left w:val="nil"/>
              <w:bottom w:val="single" w:sz="8" w:space="0" w:color="auto"/>
              <w:right w:val="single" w:sz="8" w:space="0" w:color="auto"/>
            </w:tcBorders>
          </w:tcPr>
          <w:p w:rsidR="00CA1E9A" w:rsidRPr="00932F51" w:rsidRDefault="00CA1E9A" w:rsidP="00933401">
            <w:pPr>
              <w:spacing w:after="0"/>
              <w:jc w:val="right"/>
              <w:rPr>
                <w:rFonts w:ascii="Times New Roman" w:eastAsia="Times New Roman" w:hAnsi="Times New Roman" w:cs="Times New Roman"/>
                <w:b/>
                <w:sz w:val="24"/>
                <w:szCs w:val="24"/>
                <w:lang w:eastAsia="tr-TR"/>
              </w:rPr>
            </w:pPr>
            <w:r w:rsidRPr="00CA1E9A">
              <w:rPr>
                <w:rFonts w:ascii="Times New Roman" w:eastAsia="Times New Roman" w:hAnsi="Times New Roman" w:cs="Times New Roman"/>
                <w:b/>
                <w:sz w:val="24"/>
                <w:szCs w:val="24"/>
                <w:lang w:eastAsia="tr-TR"/>
              </w:rPr>
              <w:t>71.700</w:t>
            </w:r>
          </w:p>
        </w:tc>
        <w:tc>
          <w:tcPr>
            <w:tcW w:w="998" w:type="dxa"/>
            <w:tcBorders>
              <w:top w:val="single" w:sz="4" w:space="0" w:color="auto"/>
              <w:left w:val="nil"/>
              <w:bottom w:val="single" w:sz="8"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b/>
                <w:sz w:val="24"/>
                <w:szCs w:val="24"/>
                <w:lang w:eastAsia="tr-TR"/>
              </w:rPr>
            </w:pPr>
            <w:r w:rsidRPr="00CA1E9A">
              <w:rPr>
                <w:rFonts w:ascii="Times New Roman" w:eastAsia="Times New Roman" w:hAnsi="Times New Roman" w:cs="Times New Roman"/>
                <w:b/>
                <w:sz w:val="24"/>
                <w:szCs w:val="24"/>
                <w:lang w:eastAsia="tr-TR"/>
              </w:rPr>
              <w:t>85.000</w:t>
            </w:r>
          </w:p>
        </w:tc>
        <w:tc>
          <w:tcPr>
            <w:tcW w:w="998" w:type="dxa"/>
            <w:tcBorders>
              <w:top w:val="single" w:sz="4" w:space="0" w:color="auto"/>
              <w:left w:val="nil"/>
              <w:bottom w:val="single" w:sz="8" w:space="0" w:color="auto"/>
              <w:right w:val="single" w:sz="8" w:space="0" w:color="auto"/>
            </w:tcBorders>
          </w:tcPr>
          <w:p w:rsidR="00CA1E9A" w:rsidRPr="00CA1E9A" w:rsidRDefault="00CA1E9A" w:rsidP="00CA1E9A">
            <w:pPr>
              <w:spacing w:after="0"/>
              <w:jc w:val="right"/>
              <w:rPr>
                <w:rFonts w:ascii="Times New Roman" w:eastAsia="Times New Roman" w:hAnsi="Times New Roman" w:cs="Times New Roman"/>
                <w:b/>
                <w:sz w:val="24"/>
                <w:szCs w:val="24"/>
                <w:lang w:eastAsia="tr-TR"/>
              </w:rPr>
            </w:pPr>
            <w:r w:rsidRPr="00CA1E9A">
              <w:rPr>
                <w:rFonts w:ascii="Times New Roman" w:eastAsia="Times New Roman" w:hAnsi="Times New Roman" w:cs="Times New Roman"/>
                <w:b/>
                <w:sz w:val="24"/>
                <w:szCs w:val="24"/>
                <w:lang w:eastAsia="tr-TR"/>
              </w:rPr>
              <w:t>96.000</w:t>
            </w:r>
          </w:p>
        </w:tc>
      </w:tr>
    </w:tbl>
    <w:p w:rsidR="006E204C" w:rsidRDefault="006E204C" w:rsidP="00471DD8">
      <w:pPr>
        <w:spacing w:before="240" w:after="120"/>
        <w:ind w:firstLine="567"/>
        <w:jc w:val="both"/>
        <w:rPr>
          <w:rFonts w:ascii="Times New Roman" w:eastAsia="Times New Roman" w:hAnsi="Times New Roman" w:cs="Times New Roman"/>
          <w:sz w:val="24"/>
          <w:szCs w:val="24"/>
          <w:lang w:eastAsia="tr-TR"/>
        </w:rPr>
      </w:pPr>
    </w:p>
    <w:p w:rsidR="006E204C" w:rsidRDefault="006E204C" w:rsidP="00471DD8">
      <w:pPr>
        <w:spacing w:before="240" w:after="120"/>
        <w:ind w:firstLine="567"/>
        <w:jc w:val="both"/>
        <w:rPr>
          <w:rFonts w:ascii="Times New Roman" w:eastAsia="Times New Roman" w:hAnsi="Times New Roman" w:cs="Times New Roman"/>
          <w:sz w:val="24"/>
          <w:szCs w:val="24"/>
          <w:lang w:eastAsia="tr-TR"/>
        </w:rPr>
      </w:pPr>
    </w:p>
    <w:p w:rsidR="006E204C" w:rsidRDefault="006E204C" w:rsidP="00471DD8">
      <w:pPr>
        <w:spacing w:before="240" w:after="120"/>
        <w:ind w:firstLine="567"/>
        <w:jc w:val="both"/>
        <w:rPr>
          <w:rFonts w:ascii="Times New Roman" w:eastAsia="Times New Roman" w:hAnsi="Times New Roman" w:cs="Times New Roman"/>
          <w:sz w:val="24"/>
          <w:szCs w:val="24"/>
          <w:lang w:eastAsia="tr-TR"/>
        </w:rPr>
      </w:pPr>
    </w:p>
    <w:p w:rsidR="006E204C" w:rsidRDefault="006E204C" w:rsidP="00471DD8">
      <w:pPr>
        <w:spacing w:before="240" w:after="120"/>
        <w:ind w:firstLine="567"/>
        <w:jc w:val="both"/>
        <w:rPr>
          <w:rFonts w:ascii="Times New Roman" w:eastAsia="Times New Roman" w:hAnsi="Times New Roman" w:cs="Times New Roman"/>
          <w:sz w:val="24"/>
          <w:szCs w:val="24"/>
          <w:lang w:eastAsia="tr-TR"/>
        </w:rPr>
      </w:pPr>
    </w:p>
    <w:p w:rsidR="002D5A7B" w:rsidRDefault="00D61DB7" w:rsidP="00471DD8">
      <w:pPr>
        <w:spacing w:before="240"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60</w:t>
      </w:r>
      <w:r w:rsidR="003F7DA1">
        <w:rPr>
          <w:rFonts w:ascii="Times New Roman" w:eastAsia="Times New Roman" w:hAnsi="Times New Roman" w:cs="Times New Roman"/>
          <w:sz w:val="24"/>
          <w:szCs w:val="24"/>
          <w:lang w:eastAsia="tr-TR"/>
        </w:rPr>
        <w:t xml:space="preserve">. </w:t>
      </w:r>
      <w:r w:rsidR="002D5A7B" w:rsidRPr="00932F51">
        <w:rPr>
          <w:rFonts w:ascii="Times New Roman" w:eastAsia="Times New Roman" w:hAnsi="Times New Roman" w:cs="Times New Roman"/>
          <w:sz w:val="24"/>
          <w:szCs w:val="24"/>
          <w:lang w:eastAsia="tr-TR"/>
        </w:rPr>
        <w:t>Yukarıda</w:t>
      </w:r>
      <w:bookmarkStart w:id="5" w:name="_GoBack"/>
      <w:bookmarkEnd w:id="5"/>
      <w:r w:rsidR="002D5A7B" w:rsidRPr="00932F51">
        <w:rPr>
          <w:rFonts w:ascii="Times New Roman" w:eastAsia="Times New Roman" w:hAnsi="Times New Roman" w:cs="Times New Roman"/>
          <w:sz w:val="24"/>
          <w:szCs w:val="24"/>
          <w:lang w:eastAsia="tr-TR"/>
        </w:rPr>
        <w:t xml:space="preserve"> yer alan merkezi yönetim bütçe giderlerinin GSYH’ye oranları ise Tablo 5’te gösterilmiştir.</w:t>
      </w:r>
    </w:p>
    <w:p w:rsidR="002D5A7B" w:rsidRPr="00932F51" w:rsidRDefault="002D5A7B" w:rsidP="00933401">
      <w:pPr>
        <w:spacing w:after="120"/>
        <w:ind w:firstLine="567"/>
        <w:jc w:val="both"/>
        <w:outlineLvl w:val="0"/>
        <w:rPr>
          <w:rFonts w:ascii="Times New Roman" w:eastAsia="Times New Roman" w:hAnsi="Times New Roman" w:cs="Times New Roman"/>
          <w:sz w:val="24"/>
          <w:szCs w:val="24"/>
          <w:lang w:eastAsia="tr-TR"/>
        </w:rPr>
      </w:pPr>
      <w:r w:rsidRPr="00932F51">
        <w:rPr>
          <w:rFonts w:ascii="Times New Roman" w:eastAsia="Times New Roman" w:hAnsi="Times New Roman" w:cs="Times New Roman"/>
          <w:b/>
          <w:sz w:val="24"/>
          <w:szCs w:val="24"/>
          <w:lang w:eastAsia="tr-TR"/>
        </w:rPr>
        <w:t>Tablo 5- Merkezi Yönetim Bütçe Giderlerinin GSYH’ye Oranı (%)</w:t>
      </w:r>
    </w:p>
    <w:tbl>
      <w:tblPr>
        <w:tblW w:w="8506" w:type="dxa"/>
        <w:jc w:val="center"/>
        <w:tblCellMar>
          <w:left w:w="70" w:type="dxa"/>
          <w:right w:w="70" w:type="dxa"/>
        </w:tblCellMar>
        <w:tblLook w:val="00A0" w:firstRow="1" w:lastRow="0" w:firstColumn="1" w:lastColumn="0" w:noHBand="0" w:noVBand="0"/>
      </w:tblPr>
      <w:tblGrid>
        <w:gridCol w:w="5520"/>
        <w:gridCol w:w="1052"/>
        <w:gridCol w:w="942"/>
        <w:gridCol w:w="992"/>
      </w:tblGrid>
      <w:tr w:rsidR="00932F51" w:rsidRPr="00932F51" w:rsidTr="00CA0C13">
        <w:trPr>
          <w:trHeight w:val="20"/>
          <w:jc w:val="center"/>
        </w:trPr>
        <w:tc>
          <w:tcPr>
            <w:tcW w:w="5520" w:type="dxa"/>
            <w:tcBorders>
              <w:top w:val="single" w:sz="8" w:space="0" w:color="auto"/>
              <w:left w:val="single" w:sz="8" w:space="0" w:color="auto"/>
              <w:bottom w:val="single" w:sz="8" w:space="0" w:color="auto"/>
              <w:right w:val="single" w:sz="8" w:space="0" w:color="auto"/>
            </w:tcBorders>
            <w:vAlign w:val="center"/>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p>
        </w:tc>
        <w:tc>
          <w:tcPr>
            <w:tcW w:w="1052" w:type="dxa"/>
            <w:tcBorders>
              <w:top w:val="single" w:sz="8" w:space="0" w:color="auto"/>
              <w:left w:val="nil"/>
              <w:bottom w:val="single" w:sz="8" w:space="0" w:color="auto"/>
              <w:right w:val="single" w:sz="8" w:space="0" w:color="auto"/>
            </w:tcBorders>
            <w:vAlign w:val="center"/>
            <w:hideMark/>
          </w:tcPr>
          <w:p w:rsidR="002D5A7B" w:rsidRPr="00990E5C" w:rsidRDefault="002D5A7B" w:rsidP="00343066">
            <w:pPr>
              <w:spacing w:after="0"/>
              <w:jc w:val="center"/>
              <w:rPr>
                <w:rFonts w:ascii="Times New Roman" w:eastAsia="Times New Roman" w:hAnsi="Times New Roman" w:cs="Times New Roman"/>
                <w:b/>
                <w:bCs/>
                <w:sz w:val="24"/>
                <w:szCs w:val="24"/>
                <w:lang w:eastAsia="tr-TR"/>
              </w:rPr>
            </w:pPr>
            <w:r w:rsidRPr="00990E5C">
              <w:rPr>
                <w:rFonts w:ascii="Times New Roman" w:eastAsia="Times New Roman" w:hAnsi="Times New Roman" w:cs="Times New Roman"/>
                <w:b/>
                <w:bCs/>
                <w:sz w:val="24"/>
                <w:szCs w:val="24"/>
                <w:lang w:eastAsia="tr-TR"/>
              </w:rPr>
              <w:t>201</w:t>
            </w:r>
            <w:r w:rsidR="00343066" w:rsidRPr="00990E5C">
              <w:rPr>
                <w:rFonts w:ascii="Times New Roman" w:eastAsia="Times New Roman" w:hAnsi="Times New Roman" w:cs="Times New Roman"/>
                <w:b/>
                <w:bCs/>
                <w:sz w:val="24"/>
                <w:szCs w:val="24"/>
                <w:lang w:eastAsia="tr-TR"/>
              </w:rPr>
              <w:t>8</w:t>
            </w:r>
          </w:p>
        </w:tc>
        <w:tc>
          <w:tcPr>
            <w:tcW w:w="942" w:type="dxa"/>
            <w:tcBorders>
              <w:top w:val="single" w:sz="8" w:space="0" w:color="auto"/>
              <w:left w:val="nil"/>
              <w:bottom w:val="single" w:sz="8" w:space="0" w:color="auto"/>
              <w:right w:val="single" w:sz="8" w:space="0" w:color="auto"/>
            </w:tcBorders>
            <w:vAlign w:val="center"/>
            <w:hideMark/>
          </w:tcPr>
          <w:p w:rsidR="002D5A7B" w:rsidRPr="00990E5C" w:rsidRDefault="002D5A7B" w:rsidP="00343066">
            <w:pPr>
              <w:spacing w:after="0"/>
              <w:jc w:val="center"/>
              <w:rPr>
                <w:rFonts w:ascii="Times New Roman" w:eastAsia="Times New Roman" w:hAnsi="Times New Roman" w:cs="Times New Roman"/>
                <w:b/>
                <w:bCs/>
                <w:sz w:val="24"/>
                <w:szCs w:val="24"/>
                <w:lang w:eastAsia="tr-TR"/>
              </w:rPr>
            </w:pPr>
            <w:r w:rsidRPr="00990E5C">
              <w:rPr>
                <w:rFonts w:ascii="Times New Roman" w:eastAsia="Times New Roman" w:hAnsi="Times New Roman" w:cs="Times New Roman"/>
                <w:b/>
                <w:bCs/>
                <w:sz w:val="24"/>
                <w:szCs w:val="24"/>
                <w:lang w:eastAsia="tr-TR"/>
              </w:rPr>
              <w:t>201</w:t>
            </w:r>
            <w:r w:rsidR="00343066" w:rsidRPr="00990E5C">
              <w:rPr>
                <w:rFonts w:ascii="Times New Roman" w:eastAsia="Times New Roman" w:hAnsi="Times New Roman" w:cs="Times New Roman"/>
                <w:b/>
                <w:bCs/>
                <w:sz w:val="24"/>
                <w:szCs w:val="24"/>
                <w:lang w:eastAsia="tr-TR"/>
              </w:rPr>
              <w:t>9</w:t>
            </w:r>
          </w:p>
        </w:tc>
        <w:tc>
          <w:tcPr>
            <w:tcW w:w="992" w:type="dxa"/>
            <w:tcBorders>
              <w:top w:val="single" w:sz="8" w:space="0" w:color="auto"/>
              <w:left w:val="nil"/>
              <w:bottom w:val="single" w:sz="8" w:space="0" w:color="auto"/>
              <w:right w:val="single" w:sz="8" w:space="0" w:color="auto"/>
            </w:tcBorders>
            <w:vAlign w:val="center"/>
            <w:hideMark/>
          </w:tcPr>
          <w:p w:rsidR="002D5A7B" w:rsidRPr="00990E5C" w:rsidRDefault="002D5A7B" w:rsidP="00343066">
            <w:pPr>
              <w:spacing w:after="0"/>
              <w:jc w:val="center"/>
              <w:rPr>
                <w:rFonts w:ascii="Times New Roman" w:eastAsia="Times New Roman" w:hAnsi="Times New Roman" w:cs="Times New Roman"/>
                <w:b/>
                <w:bCs/>
                <w:sz w:val="24"/>
                <w:szCs w:val="24"/>
                <w:lang w:eastAsia="tr-TR"/>
              </w:rPr>
            </w:pPr>
            <w:r w:rsidRPr="00990E5C">
              <w:rPr>
                <w:rFonts w:ascii="Times New Roman" w:eastAsia="Times New Roman" w:hAnsi="Times New Roman" w:cs="Times New Roman"/>
                <w:b/>
                <w:bCs/>
                <w:sz w:val="24"/>
                <w:szCs w:val="24"/>
                <w:lang w:eastAsia="tr-TR"/>
              </w:rPr>
              <w:t>20</w:t>
            </w:r>
            <w:r w:rsidR="00343066" w:rsidRPr="00990E5C">
              <w:rPr>
                <w:rFonts w:ascii="Times New Roman" w:eastAsia="Times New Roman" w:hAnsi="Times New Roman" w:cs="Times New Roman"/>
                <w:b/>
                <w:bCs/>
                <w:sz w:val="24"/>
                <w:szCs w:val="24"/>
                <w:lang w:eastAsia="tr-TR"/>
              </w:rPr>
              <w:t>20</w:t>
            </w:r>
          </w:p>
        </w:tc>
      </w:tr>
      <w:tr w:rsidR="00990E5C" w:rsidRPr="00932F51" w:rsidTr="009C477F">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990E5C" w:rsidRPr="00932F51" w:rsidRDefault="00990E5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Giderleri</w:t>
            </w:r>
          </w:p>
        </w:tc>
        <w:tc>
          <w:tcPr>
            <w:tcW w:w="1052" w:type="dxa"/>
            <w:tcBorders>
              <w:top w:val="nil"/>
              <w:left w:val="nil"/>
              <w:bottom w:val="single" w:sz="8" w:space="0" w:color="auto"/>
              <w:right w:val="single" w:sz="8" w:space="0" w:color="auto"/>
            </w:tcBorders>
            <w:vAlign w:val="bottom"/>
          </w:tcPr>
          <w:p w:rsidR="00990E5C" w:rsidRPr="0063343C" w:rsidRDefault="00990E5C" w:rsidP="00933401">
            <w:pPr>
              <w:spacing w:after="0"/>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22,1</w:t>
            </w:r>
          </w:p>
        </w:tc>
        <w:tc>
          <w:tcPr>
            <w:tcW w:w="942" w:type="dxa"/>
            <w:tcBorders>
              <w:top w:val="nil"/>
              <w:left w:val="nil"/>
              <w:bottom w:val="single" w:sz="8" w:space="0" w:color="auto"/>
              <w:right w:val="single" w:sz="8" w:space="0" w:color="auto"/>
            </w:tcBorders>
          </w:tcPr>
          <w:p w:rsidR="00990E5C" w:rsidRPr="00990E5C" w:rsidRDefault="00990E5C" w:rsidP="00990E5C">
            <w:pPr>
              <w:spacing w:after="0"/>
              <w:jc w:val="right"/>
              <w:rPr>
                <w:rFonts w:ascii="Times New Roman" w:eastAsia="Times New Roman" w:hAnsi="Times New Roman" w:cs="Times New Roman"/>
                <w:b/>
                <w:sz w:val="24"/>
                <w:szCs w:val="24"/>
                <w:lang w:eastAsia="tr-TR"/>
              </w:rPr>
            </w:pPr>
            <w:r w:rsidRPr="00990E5C">
              <w:rPr>
                <w:rFonts w:ascii="Times New Roman" w:eastAsia="Times New Roman" w:hAnsi="Times New Roman" w:cs="Times New Roman"/>
                <w:b/>
                <w:sz w:val="24"/>
                <w:szCs w:val="24"/>
                <w:lang w:eastAsia="tr-TR"/>
              </w:rPr>
              <w:t>21,7</w:t>
            </w:r>
          </w:p>
        </w:tc>
        <w:tc>
          <w:tcPr>
            <w:tcW w:w="992" w:type="dxa"/>
            <w:tcBorders>
              <w:top w:val="nil"/>
              <w:left w:val="nil"/>
              <w:bottom w:val="single" w:sz="8" w:space="0" w:color="auto"/>
              <w:right w:val="single" w:sz="8" w:space="0" w:color="auto"/>
            </w:tcBorders>
          </w:tcPr>
          <w:p w:rsidR="00990E5C" w:rsidRPr="00990E5C" w:rsidRDefault="00990E5C" w:rsidP="00990E5C">
            <w:pPr>
              <w:spacing w:after="0"/>
              <w:jc w:val="right"/>
              <w:rPr>
                <w:rFonts w:ascii="Times New Roman" w:eastAsia="Times New Roman" w:hAnsi="Times New Roman" w:cs="Times New Roman"/>
                <w:b/>
                <w:sz w:val="24"/>
                <w:szCs w:val="24"/>
                <w:lang w:eastAsia="tr-TR"/>
              </w:rPr>
            </w:pPr>
            <w:r w:rsidRPr="00990E5C">
              <w:rPr>
                <w:rFonts w:ascii="Times New Roman" w:eastAsia="Times New Roman" w:hAnsi="Times New Roman" w:cs="Times New Roman"/>
                <w:b/>
                <w:sz w:val="24"/>
                <w:szCs w:val="24"/>
                <w:lang w:eastAsia="tr-TR"/>
              </w:rPr>
              <w:t>21,1</w:t>
            </w:r>
          </w:p>
        </w:tc>
      </w:tr>
      <w:tr w:rsidR="00990E5C" w:rsidRPr="00932F51" w:rsidTr="007961BE">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990E5C" w:rsidRPr="00932F51" w:rsidRDefault="00990E5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Dışı Giderler</w:t>
            </w:r>
          </w:p>
        </w:tc>
        <w:tc>
          <w:tcPr>
            <w:tcW w:w="1052" w:type="dxa"/>
            <w:tcBorders>
              <w:top w:val="nil"/>
              <w:left w:val="nil"/>
              <w:bottom w:val="single" w:sz="8" w:space="0" w:color="auto"/>
              <w:right w:val="single" w:sz="8" w:space="0" w:color="auto"/>
            </w:tcBorders>
            <w:vAlign w:val="bottom"/>
          </w:tcPr>
          <w:p w:rsidR="00990E5C" w:rsidRPr="0063343C" w:rsidRDefault="00990E5C" w:rsidP="00933401">
            <w:pPr>
              <w:spacing w:after="0"/>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w:t>
            </w:r>
          </w:p>
        </w:tc>
        <w:tc>
          <w:tcPr>
            <w:tcW w:w="942" w:type="dxa"/>
            <w:tcBorders>
              <w:top w:val="nil"/>
              <w:left w:val="nil"/>
              <w:bottom w:val="single" w:sz="8" w:space="0" w:color="auto"/>
              <w:right w:val="single" w:sz="8" w:space="0" w:color="auto"/>
            </w:tcBorders>
          </w:tcPr>
          <w:p w:rsidR="00990E5C" w:rsidRPr="00990E5C" w:rsidRDefault="00990E5C" w:rsidP="00990E5C">
            <w:pPr>
              <w:spacing w:after="0"/>
              <w:jc w:val="right"/>
              <w:rPr>
                <w:rFonts w:ascii="Times New Roman" w:eastAsia="Times New Roman" w:hAnsi="Times New Roman" w:cs="Times New Roman"/>
                <w:b/>
                <w:sz w:val="24"/>
                <w:szCs w:val="24"/>
                <w:lang w:eastAsia="tr-TR"/>
              </w:rPr>
            </w:pPr>
            <w:r w:rsidRPr="00990E5C">
              <w:rPr>
                <w:rFonts w:ascii="Times New Roman" w:eastAsia="Times New Roman" w:hAnsi="Times New Roman" w:cs="Times New Roman"/>
                <w:b/>
                <w:sz w:val="24"/>
                <w:szCs w:val="24"/>
                <w:lang w:eastAsia="tr-TR"/>
              </w:rPr>
              <w:t>19,5</w:t>
            </w:r>
          </w:p>
        </w:tc>
        <w:tc>
          <w:tcPr>
            <w:tcW w:w="992" w:type="dxa"/>
            <w:tcBorders>
              <w:top w:val="nil"/>
              <w:left w:val="nil"/>
              <w:bottom w:val="single" w:sz="8" w:space="0" w:color="auto"/>
              <w:right w:val="single" w:sz="8" w:space="0" w:color="auto"/>
            </w:tcBorders>
          </w:tcPr>
          <w:p w:rsidR="00990E5C" w:rsidRPr="00990E5C" w:rsidRDefault="00990E5C" w:rsidP="00990E5C">
            <w:pPr>
              <w:spacing w:after="0"/>
              <w:jc w:val="right"/>
              <w:rPr>
                <w:rFonts w:ascii="Times New Roman" w:eastAsia="Times New Roman" w:hAnsi="Times New Roman" w:cs="Times New Roman"/>
                <w:b/>
                <w:sz w:val="24"/>
                <w:szCs w:val="24"/>
                <w:lang w:eastAsia="tr-TR"/>
              </w:rPr>
            </w:pPr>
            <w:r w:rsidRPr="00990E5C">
              <w:rPr>
                <w:rFonts w:ascii="Times New Roman" w:eastAsia="Times New Roman" w:hAnsi="Times New Roman" w:cs="Times New Roman"/>
                <w:b/>
                <w:sz w:val="24"/>
                <w:szCs w:val="24"/>
                <w:lang w:eastAsia="tr-TR"/>
              </w:rPr>
              <w:t>18,9</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Personel Giderleri</w:t>
            </w:r>
          </w:p>
        </w:tc>
        <w:tc>
          <w:tcPr>
            <w:tcW w:w="1052" w:type="dxa"/>
            <w:tcBorders>
              <w:top w:val="nil"/>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5,3</w:t>
            </w:r>
          </w:p>
        </w:tc>
        <w:tc>
          <w:tcPr>
            <w:tcW w:w="942" w:type="dxa"/>
            <w:tcBorders>
              <w:top w:val="nil"/>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5,2</w:t>
            </w:r>
          </w:p>
        </w:tc>
        <w:tc>
          <w:tcPr>
            <w:tcW w:w="992" w:type="dxa"/>
            <w:tcBorders>
              <w:top w:val="nil"/>
              <w:left w:val="nil"/>
              <w:bottom w:val="single" w:sz="8" w:space="0" w:color="auto"/>
              <w:right w:val="single" w:sz="8" w:space="0" w:color="auto"/>
            </w:tcBorders>
            <w:vAlign w:val="bottom"/>
          </w:tcPr>
          <w:p w:rsidR="0063343C" w:rsidRPr="0063343C" w:rsidRDefault="0037730F"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Sosyal Güvenlik Kurumlarına Devlet Primi Giderleri</w:t>
            </w:r>
          </w:p>
        </w:tc>
        <w:tc>
          <w:tcPr>
            <w:tcW w:w="1052" w:type="dxa"/>
            <w:tcBorders>
              <w:top w:val="nil"/>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0,9</w:t>
            </w:r>
          </w:p>
        </w:tc>
        <w:tc>
          <w:tcPr>
            <w:tcW w:w="942" w:type="dxa"/>
            <w:tcBorders>
              <w:top w:val="nil"/>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0,9</w:t>
            </w:r>
          </w:p>
        </w:tc>
        <w:tc>
          <w:tcPr>
            <w:tcW w:w="992" w:type="dxa"/>
            <w:tcBorders>
              <w:top w:val="nil"/>
              <w:left w:val="nil"/>
              <w:bottom w:val="single" w:sz="8" w:space="0" w:color="auto"/>
              <w:right w:val="single" w:sz="8" w:space="0" w:color="auto"/>
            </w:tcBorders>
            <w:vAlign w:val="bottom"/>
          </w:tcPr>
          <w:p w:rsidR="0063343C" w:rsidRPr="0063343C" w:rsidRDefault="0037730F"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0,8</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Mal ve Hizmet Alım Giderleri</w:t>
            </w:r>
          </w:p>
        </w:tc>
        <w:tc>
          <w:tcPr>
            <w:tcW w:w="1052" w:type="dxa"/>
            <w:tcBorders>
              <w:top w:val="nil"/>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942" w:type="dxa"/>
            <w:tcBorders>
              <w:top w:val="nil"/>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992" w:type="dxa"/>
            <w:tcBorders>
              <w:top w:val="nil"/>
              <w:left w:val="nil"/>
              <w:bottom w:val="single" w:sz="8" w:space="0" w:color="auto"/>
              <w:right w:val="single" w:sz="8" w:space="0" w:color="auto"/>
            </w:tcBorders>
            <w:vAlign w:val="bottom"/>
          </w:tcPr>
          <w:p w:rsidR="0063343C" w:rsidRPr="0063343C" w:rsidRDefault="0037730F"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Cari Transferler</w:t>
            </w:r>
          </w:p>
        </w:tc>
        <w:tc>
          <w:tcPr>
            <w:tcW w:w="1052" w:type="dxa"/>
            <w:tcBorders>
              <w:top w:val="nil"/>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8,7</w:t>
            </w:r>
          </w:p>
        </w:tc>
        <w:tc>
          <w:tcPr>
            <w:tcW w:w="942" w:type="dxa"/>
            <w:tcBorders>
              <w:top w:val="nil"/>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8,5</w:t>
            </w:r>
          </w:p>
        </w:tc>
        <w:tc>
          <w:tcPr>
            <w:tcW w:w="992" w:type="dxa"/>
            <w:tcBorders>
              <w:top w:val="nil"/>
              <w:left w:val="nil"/>
              <w:bottom w:val="single" w:sz="8" w:space="0" w:color="auto"/>
              <w:right w:val="single" w:sz="8" w:space="0" w:color="auto"/>
            </w:tcBorders>
            <w:vAlign w:val="bottom"/>
          </w:tcPr>
          <w:p w:rsidR="0063343C" w:rsidRPr="0063343C" w:rsidRDefault="0037730F"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8,2</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Giderleri</w:t>
            </w:r>
          </w:p>
        </w:tc>
        <w:tc>
          <w:tcPr>
            <w:tcW w:w="1052" w:type="dxa"/>
            <w:tcBorders>
              <w:top w:val="nil"/>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942" w:type="dxa"/>
            <w:tcBorders>
              <w:top w:val="nil"/>
              <w:left w:val="nil"/>
              <w:bottom w:val="single" w:sz="8" w:space="0" w:color="auto"/>
              <w:right w:val="single" w:sz="8" w:space="0" w:color="auto"/>
            </w:tcBorders>
            <w:vAlign w:val="bottom"/>
          </w:tcPr>
          <w:p w:rsidR="0063343C" w:rsidRPr="0063343C" w:rsidRDefault="00990E5C" w:rsidP="004F2FEC">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992" w:type="dxa"/>
            <w:tcBorders>
              <w:top w:val="nil"/>
              <w:left w:val="nil"/>
              <w:bottom w:val="single" w:sz="8" w:space="0" w:color="auto"/>
              <w:right w:val="single" w:sz="8" w:space="0" w:color="auto"/>
            </w:tcBorders>
            <w:vAlign w:val="bottom"/>
          </w:tcPr>
          <w:p w:rsidR="0063343C" w:rsidRPr="0063343C" w:rsidRDefault="0037730F"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Transferleri</w:t>
            </w:r>
          </w:p>
        </w:tc>
        <w:tc>
          <w:tcPr>
            <w:tcW w:w="1052" w:type="dxa"/>
            <w:tcBorders>
              <w:top w:val="nil"/>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0,4</w:t>
            </w:r>
          </w:p>
        </w:tc>
        <w:tc>
          <w:tcPr>
            <w:tcW w:w="942" w:type="dxa"/>
            <w:tcBorders>
              <w:top w:val="nil"/>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0,4</w:t>
            </w:r>
          </w:p>
        </w:tc>
        <w:tc>
          <w:tcPr>
            <w:tcW w:w="992" w:type="dxa"/>
            <w:tcBorders>
              <w:top w:val="nil"/>
              <w:left w:val="nil"/>
              <w:bottom w:val="single" w:sz="8" w:space="0" w:color="auto"/>
              <w:right w:val="single" w:sz="8" w:space="0" w:color="auto"/>
            </w:tcBorders>
            <w:vAlign w:val="bottom"/>
          </w:tcPr>
          <w:p w:rsidR="0063343C" w:rsidRPr="0063343C" w:rsidRDefault="0037730F"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0,4</w:t>
            </w:r>
          </w:p>
        </w:tc>
      </w:tr>
      <w:tr w:rsidR="0063343C" w:rsidRPr="00932F51" w:rsidTr="00CA0C13">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Borç Verme</w:t>
            </w:r>
          </w:p>
        </w:tc>
        <w:tc>
          <w:tcPr>
            <w:tcW w:w="1052" w:type="dxa"/>
            <w:tcBorders>
              <w:top w:val="nil"/>
              <w:left w:val="nil"/>
              <w:bottom w:val="single" w:sz="4"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0,6</w:t>
            </w:r>
          </w:p>
        </w:tc>
        <w:tc>
          <w:tcPr>
            <w:tcW w:w="942" w:type="dxa"/>
            <w:tcBorders>
              <w:top w:val="nil"/>
              <w:left w:val="nil"/>
              <w:bottom w:val="single" w:sz="4" w:space="0" w:color="auto"/>
              <w:right w:val="single" w:sz="8" w:space="0" w:color="auto"/>
            </w:tcBorders>
            <w:vAlign w:val="bottom"/>
          </w:tcPr>
          <w:p w:rsidR="0063343C" w:rsidRPr="0063343C" w:rsidRDefault="0037730F"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990E5C">
              <w:rPr>
                <w:rFonts w:ascii="Times New Roman" w:eastAsia="Times New Roman" w:hAnsi="Times New Roman" w:cs="Times New Roman"/>
                <w:sz w:val="24"/>
                <w:szCs w:val="24"/>
                <w:lang w:eastAsia="tr-TR"/>
              </w:rPr>
              <w:t>0,5</w:t>
            </w:r>
          </w:p>
        </w:tc>
        <w:tc>
          <w:tcPr>
            <w:tcW w:w="992" w:type="dxa"/>
            <w:tcBorders>
              <w:top w:val="nil"/>
              <w:left w:val="nil"/>
              <w:bottom w:val="single" w:sz="4" w:space="0" w:color="auto"/>
              <w:right w:val="single" w:sz="8" w:space="0" w:color="auto"/>
            </w:tcBorders>
            <w:vAlign w:val="bottom"/>
          </w:tcPr>
          <w:p w:rsidR="0063343C" w:rsidRPr="0063343C" w:rsidRDefault="0037730F"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0,4</w:t>
            </w:r>
          </w:p>
        </w:tc>
      </w:tr>
      <w:tr w:rsidR="0063343C" w:rsidRPr="00932F51" w:rsidTr="00CA0C13">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Yedek Ödenek</w:t>
            </w:r>
          </w:p>
        </w:tc>
        <w:tc>
          <w:tcPr>
            <w:tcW w:w="1052" w:type="dxa"/>
            <w:tcBorders>
              <w:top w:val="nil"/>
              <w:left w:val="nil"/>
              <w:bottom w:val="single" w:sz="4" w:space="0" w:color="auto"/>
              <w:right w:val="single" w:sz="8" w:space="0" w:color="auto"/>
            </w:tcBorders>
            <w:vAlign w:val="bottom"/>
          </w:tcPr>
          <w:p w:rsidR="0063343C" w:rsidRPr="0063343C" w:rsidRDefault="00990E5C" w:rsidP="00CA0C13">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w:t>
            </w:r>
          </w:p>
        </w:tc>
        <w:tc>
          <w:tcPr>
            <w:tcW w:w="942" w:type="dxa"/>
            <w:tcBorders>
              <w:top w:val="nil"/>
              <w:left w:val="nil"/>
              <w:bottom w:val="single" w:sz="4" w:space="0" w:color="auto"/>
              <w:right w:val="single" w:sz="8" w:space="0" w:color="auto"/>
            </w:tcBorders>
            <w:vAlign w:val="bottom"/>
          </w:tcPr>
          <w:p w:rsidR="0063343C" w:rsidRPr="0063343C" w:rsidRDefault="00990E5C" w:rsidP="00CA0C13">
            <w:pPr>
              <w:spacing w:after="0"/>
              <w:ind w:right="-7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w:t>
            </w:r>
          </w:p>
        </w:tc>
        <w:tc>
          <w:tcPr>
            <w:tcW w:w="992" w:type="dxa"/>
            <w:tcBorders>
              <w:top w:val="nil"/>
              <w:left w:val="nil"/>
              <w:bottom w:val="single" w:sz="4" w:space="0" w:color="auto"/>
              <w:right w:val="single" w:sz="8" w:space="0" w:color="auto"/>
            </w:tcBorders>
            <w:vAlign w:val="bottom"/>
          </w:tcPr>
          <w:p w:rsidR="0063343C" w:rsidRPr="0063343C" w:rsidRDefault="0037730F"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w:t>
            </w:r>
          </w:p>
        </w:tc>
      </w:tr>
      <w:tr w:rsidR="0063343C" w:rsidRPr="00932F51" w:rsidTr="00CA0C13">
        <w:trPr>
          <w:trHeight w:val="20"/>
          <w:jc w:val="center"/>
        </w:trPr>
        <w:tc>
          <w:tcPr>
            <w:tcW w:w="5520" w:type="dxa"/>
            <w:tcBorders>
              <w:top w:val="single" w:sz="4" w:space="0" w:color="auto"/>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Giderleri</w:t>
            </w:r>
          </w:p>
        </w:tc>
        <w:tc>
          <w:tcPr>
            <w:tcW w:w="1052" w:type="dxa"/>
            <w:tcBorders>
              <w:top w:val="single" w:sz="4" w:space="0" w:color="auto"/>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w:t>
            </w:r>
          </w:p>
        </w:tc>
        <w:tc>
          <w:tcPr>
            <w:tcW w:w="942" w:type="dxa"/>
            <w:tcBorders>
              <w:top w:val="single" w:sz="4" w:space="0" w:color="auto"/>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w:t>
            </w:r>
          </w:p>
        </w:tc>
        <w:tc>
          <w:tcPr>
            <w:tcW w:w="992" w:type="dxa"/>
            <w:tcBorders>
              <w:top w:val="single" w:sz="4" w:space="0" w:color="auto"/>
              <w:left w:val="nil"/>
              <w:bottom w:val="single" w:sz="8" w:space="0" w:color="auto"/>
              <w:right w:val="single" w:sz="8" w:space="0" w:color="auto"/>
            </w:tcBorders>
            <w:vAlign w:val="bottom"/>
          </w:tcPr>
          <w:p w:rsidR="0063343C" w:rsidRPr="0063343C" w:rsidRDefault="00990E5C" w:rsidP="00933401">
            <w:pPr>
              <w:spacing w:after="0"/>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w:t>
            </w:r>
          </w:p>
        </w:tc>
      </w:tr>
    </w:tbl>
    <w:p w:rsidR="002D5A7B" w:rsidRPr="00932F51" w:rsidRDefault="002D5A7B" w:rsidP="00471DD8">
      <w:pPr>
        <w:spacing w:before="240" w:after="120"/>
        <w:ind w:firstLine="567"/>
        <w:jc w:val="both"/>
        <w:rPr>
          <w:rFonts w:ascii="Times New Roman" w:eastAsia="Times New Roman" w:hAnsi="Times New Roman" w:cs="Times New Roman"/>
          <w:sz w:val="24"/>
          <w:szCs w:val="24"/>
          <w:lang w:eastAsia="tr-TR"/>
        </w:rPr>
      </w:pPr>
      <w:r w:rsidRPr="00990E5C">
        <w:rPr>
          <w:rFonts w:ascii="Times New Roman" w:eastAsia="Times New Roman" w:hAnsi="Times New Roman" w:cs="Times New Roman"/>
          <w:sz w:val="24"/>
          <w:szCs w:val="24"/>
          <w:lang w:eastAsia="tr-TR"/>
        </w:rPr>
        <w:t>201</w:t>
      </w:r>
      <w:r w:rsidR="00407FE9" w:rsidRPr="00990E5C">
        <w:rPr>
          <w:rFonts w:ascii="Times New Roman" w:eastAsia="Times New Roman" w:hAnsi="Times New Roman" w:cs="Times New Roman"/>
          <w:sz w:val="24"/>
          <w:szCs w:val="24"/>
          <w:lang w:eastAsia="tr-TR"/>
        </w:rPr>
        <w:t>8</w:t>
      </w:r>
      <w:r w:rsidRPr="00990E5C">
        <w:rPr>
          <w:rFonts w:ascii="Times New Roman" w:eastAsia="Times New Roman" w:hAnsi="Times New Roman" w:cs="Times New Roman"/>
          <w:sz w:val="24"/>
          <w:szCs w:val="24"/>
          <w:lang w:eastAsia="tr-TR"/>
        </w:rPr>
        <w:t>-20</w:t>
      </w:r>
      <w:r w:rsidR="00407FE9" w:rsidRPr="00990E5C">
        <w:rPr>
          <w:rFonts w:ascii="Times New Roman" w:eastAsia="Times New Roman" w:hAnsi="Times New Roman" w:cs="Times New Roman"/>
          <w:sz w:val="24"/>
          <w:szCs w:val="24"/>
          <w:lang w:eastAsia="tr-TR"/>
        </w:rPr>
        <w:t>20</w:t>
      </w:r>
      <w:r w:rsidRPr="00990E5C">
        <w:rPr>
          <w:rFonts w:ascii="Times New Roman" w:eastAsia="Times New Roman" w:hAnsi="Times New Roman" w:cs="Times New Roman"/>
          <w:sz w:val="24"/>
          <w:szCs w:val="24"/>
          <w:lang w:eastAsia="tr-TR"/>
        </w:rPr>
        <w:t xml:space="preserve"> döneminde, merkezi yönetim bütçe giderlerinin GSYH’ye oranının sırasıyla yüzde</w:t>
      </w:r>
      <w:r w:rsidR="00B60AEE" w:rsidRPr="00990E5C">
        <w:rPr>
          <w:rFonts w:ascii="Times New Roman" w:eastAsia="Times New Roman" w:hAnsi="Times New Roman" w:cs="Times New Roman"/>
          <w:sz w:val="24"/>
          <w:szCs w:val="24"/>
          <w:lang w:eastAsia="tr-TR"/>
        </w:rPr>
        <w:t xml:space="preserve"> </w:t>
      </w:r>
      <w:r w:rsidR="00990E5C">
        <w:rPr>
          <w:rFonts w:ascii="Times New Roman" w:eastAsia="Times New Roman" w:hAnsi="Times New Roman" w:cs="Times New Roman"/>
          <w:sz w:val="24"/>
          <w:szCs w:val="24"/>
          <w:lang w:eastAsia="tr-TR"/>
        </w:rPr>
        <w:t>22,1</w:t>
      </w:r>
      <w:r w:rsidR="00DB5B70">
        <w:rPr>
          <w:rFonts w:ascii="Times New Roman" w:eastAsia="Times New Roman" w:hAnsi="Times New Roman" w:cs="Times New Roman"/>
          <w:sz w:val="24"/>
          <w:szCs w:val="24"/>
          <w:lang w:eastAsia="tr-TR"/>
        </w:rPr>
        <w:t>,</w:t>
      </w:r>
      <w:r w:rsidRPr="00990E5C">
        <w:rPr>
          <w:rFonts w:ascii="Times New Roman" w:eastAsia="Times New Roman" w:hAnsi="Times New Roman" w:cs="Times New Roman"/>
          <w:sz w:val="24"/>
          <w:szCs w:val="24"/>
          <w:lang w:eastAsia="tr-TR"/>
        </w:rPr>
        <w:t xml:space="preserve"> yüzde </w:t>
      </w:r>
      <w:r w:rsidR="00990E5C">
        <w:rPr>
          <w:rFonts w:ascii="Times New Roman" w:eastAsia="Times New Roman" w:hAnsi="Times New Roman" w:cs="Times New Roman"/>
          <w:sz w:val="24"/>
          <w:szCs w:val="24"/>
          <w:lang w:eastAsia="tr-TR"/>
        </w:rPr>
        <w:t xml:space="preserve">21,7 </w:t>
      </w:r>
      <w:r w:rsidRPr="00990E5C">
        <w:rPr>
          <w:rFonts w:ascii="Times New Roman" w:eastAsia="Times New Roman" w:hAnsi="Times New Roman" w:cs="Times New Roman"/>
          <w:sz w:val="24"/>
          <w:szCs w:val="24"/>
          <w:lang w:eastAsia="tr-TR"/>
        </w:rPr>
        <w:t xml:space="preserve">ve yüzde </w:t>
      </w:r>
      <w:r w:rsidR="00990E5C">
        <w:rPr>
          <w:rFonts w:ascii="Times New Roman" w:eastAsia="Times New Roman" w:hAnsi="Times New Roman" w:cs="Times New Roman"/>
          <w:sz w:val="24"/>
          <w:szCs w:val="24"/>
          <w:lang w:eastAsia="tr-TR"/>
        </w:rPr>
        <w:t xml:space="preserve">21,1 </w:t>
      </w:r>
      <w:r w:rsidRPr="00990E5C">
        <w:rPr>
          <w:rFonts w:ascii="Times New Roman" w:eastAsia="Times New Roman" w:hAnsi="Times New Roman" w:cs="Times New Roman"/>
          <w:sz w:val="24"/>
          <w:szCs w:val="24"/>
          <w:lang w:eastAsia="tr-TR"/>
        </w:rPr>
        <w:t>olarak gerçekleşmesi öngörülmüştür</w:t>
      </w:r>
      <w:r w:rsidRPr="007B2A0B">
        <w:rPr>
          <w:rFonts w:ascii="Times New Roman" w:eastAsia="Times New Roman" w:hAnsi="Times New Roman" w:cs="Times New Roman"/>
          <w:sz w:val="24"/>
          <w:szCs w:val="24"/>
          <w:lang w:eastAsia="tr-TR"/>
        </w:rPr>
        <w:t>.</w:t>
      </w:r>
    </w:p>
    <w:p w:rsidR="002D5A7B" w:rsidRPr="00932F51" w:rsidRDefault="002D5A7B" w:rsidP="00B26F10">
      <w:pPr>
        <w:spacing w:after="120"/>
        <w:ind w:left="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Gelirleri</w:t>
      </w:r>
    </w:p>
    <w:p w:rsidR="002D5A7B" w:rsidRDefault="00D61DB7"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61</w:t>
      </w:r>
      <w:r w:rsidR="003F7DA1">
        <w:rPr>
          <w:rFonts w:ascii="Times New Roman" w:eastAsia="Times New Roman" w:hAnsi="Times New Roman" w:cs="Times New Roman"/>
          <w:sz w:val="24"/>
          <w:szCs w:val="24"/>
          <w:lang w:eastAsia="tr-TR"/>
        </w:rPr>
        <w:t xml:space="preserve">. </w:t>
      </w:r>
      <w:r w:rsidR="002D5A7B" w:rsidRPr="00094657">
        <w:rPr>
          <w:rFonts w:ascii="Times New Roman" w:eastAsia="Times New Roman" w:hAnsi="Times New Roman" w:cs="Times New Roman"/>
          <w:sz w:val="24"/>
          <w:szCs w:val="24"/>
          <w:lang w:eastAsia="tr-TR"/>
        </w:rPr>
        <w:t>Merkezi yönetim bütçe gelirleri, Orta Vadeli Programda yer alan makroekonomik göstergeler ile gelir politikalarının bütçe gelirlerine etkileri, ulusal ve uluslararası piyasalardaki gelişmeler ve gelirlerin geçmiş yıllarda gösterdiği eğilim dikkate alınarak belirlenmiştir.</w:t>
      </w:r>
      <w:r w:rsidR="002D5A7B" w:rsidRPr="00932F51">
        <w:rPr>
          <w:rFonts w:ascii="Times New Roman" w:eastAsia="Times New Roman" w:hAnsi="Times New Roman" w:cs="Times New Roman"/>
          <w:sz w:val="24"/>
          <w:szCs w:val="24"/>
          <w:lang w:eastAsia="tr-TR"/>
        </w:rPr>
        <w:t xml:space="preserve"> </w:t>
      </w:r>
    </w:p>
    <w:p w:rsidR="002D5A7B" w:rsidRPr="00932F51" w:rsidRDefault="002D5A7B" w:rsidP="00933401">
      <w:pPr>
        <w:spacing w:after="120"/>
        <w:ind w:firstLine="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 xml:space="preserve">Tablo 6- Merkezi Yönetim Bütçe Gelirleri </w:t>
      </w:r>
    </w:p>
    <w:tbl>
      <w:tblPr>
        <w:tblW w:w="8956" w:type="dxa"/>
        <w:jc w:val="center"/>
        <w:tblCellMar>
          <w:left w:w="70" w:type="dxa"/>
          <w:right w:w="70" w:type="dxa"/>
        </w:tblCellMar>
        <w:tblLook w:val="00A0" w:firstRow="1" w:lastRow="0" w:firstColumn="1" w:lastColumn="0" w:noHBand="0" w:noVBand="0"/>
      </w:tblPr>
      <w:tblGrid>
        <w:gridCol w:w="5833"/>
        <w:gridCol w:w="1007"/>
        <w:gridCol w:w="1080"/>
        <w:gridCol w:w="1036"/>
      </w:tblGrid>
      <w:tr w:rsidR="00932F51" w:rsidRPr="00932F51" w:rsidTr="004847FA">
        <w:trPr>
          <w:trHeight w:val="20"/>
          <w:jc w:val="center"/>
        </w:trPr>
        <w:tc>
          <w:tcPr>
            <w:tcW w:w="5833"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sz w:val="24"/>
                <w:szCs w:val="24"/>
                <w:lang w:eastAsia="tr-TR"/>
              </w:rPr>
              <w:t>(Milyon TL)</w:t>
            </w:r>
          </w:p>
        </w:tc>
        <w:tc>
          <w:tcPr>
            <w:tcW w:w="1007" w:type="dxa"/>
            <w:tcBorders>
              <w:top w:val="single" w:sz="8" w:space="0" w:color="auto"/>
              <w:left w:val="nil"/>
              <w:bottom w:val="single" w:sz="8" w:space="0" w:color="auto"/>
              <w:right w:val="single" w:sz="8" w:space="0" w:color="auto"/>
            </w:tcBorders>
            <w:noWrap/>
            <w:vAlign w:val="center"/>
            <w:hideMark/>
          </w:tcPr>
          <w:p w:rsidR="002D5A7B" w:rsidRPr="004847FA" w:rsidRDefault="002D5A7B" w:rsidP="00343066">
            <w:pPr>
              <w:spacing w:after="0"/>
              <w:jc w:val="center"/>
              <w:rPr>
                <w:rFonts w:ascii="Times New Roman" w:eastAsia="Times New Roman" w:hAnsi="Times New Roman" w:cs="Times New Roman"/>
                <w:b/>
                <w:bCs/>
                <w:sz w:val="24"/>
                <w:szCs w:val="24"/>
                <w:lang w:eastAsia="tr-TR"/>
              </w:rPr>
            </w:pPr>
            <w:r w:rsidRPr="004847FA">
              <w:rPr>
                <w:rFonts w:ascii="Times New Roman" w:eastAsia="Times New Roman" w:hAnsi="Times New Roman" w:cs="Times New Roman"/>
                <w:b/>
                <w:bCs/>
                <w:sz w:val="24"/>
                <w:szCs w:val="24"/>
                <w:lang w:eastAsia="tr-TR"/>
              </w:rPr>
              <w:t>201</w:t>
            </w:r>
            <w:r w:rsidR="00343066" w:rsidRPr="004847FA">
              <w:rPr>
                <w:rFonts w:ascii="Times New Roman" w:eastAsia="Times New Roman" w:hAnsi="Times New Roman" w:cs="Times New Roman"/>
                <w:b/>
                <w:bCs/>
                <w:sz w:val="24"/>
                <w:szCs w:val="24"/>
                <w:lang w:eastAsia="tr-TR"/>
              </w:rPr>
              <w:t>8</w:t>
            </w:r>
          </w:p>
        </w:tc>
        <w:tc>
          <w:tcPr>
            <w:tcW w:w="1080" w:type="dxa"/>
            <w:tcBorders>
              <w:top w:val="single" w:sz="8" w:space="0" w:color="auto"/>
              <w:left w:val="nil"/>
              <w:bottom w:val="single" w:sz="8" w:space="0" w:color="auto"/>
              <w:right w:val="single" w:sz="8" w:space="0" w:color="auto"/>
            </w:tcBorders>
            <w:noWrap/>
            <w:vAlign w:val="center"/>
            <w:hideMark/>
          </w:tcPr>
          <w:p w:rsidR="002D5A7B" w:rsidRPr="004847FA" w:rsidRDefault="002D5A7B" w:rsidP="00343066">
            <w:pPr>
              <w:spacing w:after="0"/>
              <w:jc w:val="center"/>
              <w:rPr>
                <w:rFonts w:ascii="Times New Roman" w:eastAsia="Times New Roman" w:hAnsi="Times New Roman" w:cs="Times New Roman"/>
                <w:b/>
                <w:bCs/>
                <w:sz w:val="24"/>
                <w:szCs w:val="24"/>
                <w:lang w:eastAsia="tr-TR"/>
              </w:rPr>
            </w:pPr>
            <w:r w:rsidRPr="004847FA">
              <w:rPr>
                <w:rFonts w:ascii="Times New Roman" w:eastAsia="Times New Roman" w:hAnsi="Times New Roman" w:cs="Times New Roman"/>
                <w:b/>
                <w:bCs/>
                <w:sz w:val="24"/>
                <w:szCs w:val="24"/>
                <w:lang w:eastAsia="tr-TR"/>
              </w:rPr>
              <w:t>201</w:t>
            </w:r>
            <w:r w:rsidR="00343066" w:rsidRPr="004847FA">
              <w:rPr>
                <w:rFonts w:ascii="Times New Roman" w:eastAsia="Times New Roman" w:hAnsi="Times New Roman" w:cs="Times New Roman"/>
                <w:b/>
                <w:bCs/>
                <w:sz w:val="24"/>
                <w:szCs w:val="24"/>
                <w:lang w:eastAsia="tr-TR"/>
              </w:rPr>
              <w:t>9</w:t>
            </w:r>
          </w:p>
        </w:tc>
        <w:tc>
          <w:tcPr>
            <w:tcW w:w="1036" w:type="dxa"/>
            <w:tcBorders>
              <w:top w:val="single" w:sz="8" w:space="0" w:color="auto"/>
              <w:left w:val="nil"/>
              <w:bottom w:val="single" w:sz="8" w:space="0" w:color="auto"/>
              <w:right w:val="single" w:sz="8" w:space="0" w:color="auto"/>
            </w:tcBorders>
            <w:vAlign w:val="center"/>
            <w:hideMark/>
          </w:tcPr>
          <w:p w:rsidR="002D5A7B" w:rsidRPr="004847FA" w:rsidRDefault="002D5A7B" w:rsidP="00343066">
            <w:pPr>
              <w:spacing w:after="0"/>
              <w:jc w:val="center"/>
              <w:rPr>
                <w:rFonts w:ascii="Times New Roman" w:eastAsia="Times New Roman" w:hAnsi="Times New Roman" w:cs="Times New Roman"/>
                <w:b/>
                <w:bCs/>
                <w:sz w:val="24"/>
                <w:szCs w:val="24"/>
                <w:lang w:eastAsia="tr-TR"/>
              </w:rPr>
            </w:pPr>
            <w:r w:rsidRPr="004847FA">
              <w:rPr>
                <w:rFonts w:ascii="Times New Roman" w:eastAsia="Times New Roman" w:hAnsi="Times New Roman" w:cs="Times New Roman"/>
                <w:b/>
                <w:bCs/>
                <w:sz w:val="24"/>
                <w:szCs w:val="24"/>
                <w:lang w:eastAsia="tr-TR"/>
              </w:rPr>
              <w:t>20</w:t>
            </w:r>
            <w:r w:rsidR="00343066" w:rsidRPr="004847FA">
              <w:rPr>
                <w:rFonts w:ascii="Times New Roman" w:eastAsia="Times New Roman" w:hAnsi="Times New Roman" w:cs="Times New Roman"/>
                <w:b/>
                <w:bCs/>
                <w:sz w:val="24"/>
                <w:szCs w:val="24"/>
                <w:lang w:eastAsia="tr-TR"/>
              </w:rPr>
              <w:t>20</w:t>
            </w:r>
          </w:p>
        </w:tc>
      </w:tr>
      <w:tr w:rsidR="004847FA" w:rsidRPr="00D83AFD" w:rsidTr="004847FA">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4847FA" w:rsidRPr="00932F51" w:rsidRDefault="004847F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 Gelirleri (Net) </w:t>
            </w:r>
          </w:p>
        </w:tc>
        <w:tc>
          <w:tcPr>
            <w:tcW w:w="1007" w:type="dxa"/>
            <w:tcBorders>
              <w:top w:val="nil"/>
              <w:left w:val="nil"/>
              <w:bottom w:val="single" w:sz="8" w:space="0" w:color="auto"/>
              <w:right w:val="single" w:sz="8" w:space="0" w:color="auto"/>
            </w:tcBorders>
            <w:noWrap/>
            <w:vAlign w:val="bottom"/>
          </w:tcPr>
          <w:p w:rsidR="004847FA" w:rsidRPr="00D83AFD" w:rsidRDefault="004847FA" w:rsidP="00B25AD8">
            <w:pPr>
              <w:spacing w:after="0"/>
              <w:jc w:val="right"/>
              <w:rPr>
                <w:rFonts w:ascii="Times New Roman" w:eastAsia="Times New Roman" w:hAnsi="Times New Roman" w:cs="Times New Roman"/>
                <w:sz w:val="24"/>
                <w:szCs w:val="24"/>
                <w:lang w:eastAsia="tr-TR"/>
              </w:rPr>
            </w:pPr>
            <w:r w:rsidRPr="004847FA">
              <w:rPr>
                <w:rFonts w:ascii="Times New Roman" w:eastAsia="Times New Roman" w:hAnsi="Times New Roman" w:cs="Times New Roman"/>
                <w:sz w:val="24"/>
                <w:szCs w:val="24"/>
                <w:lang w:eastAsia="tr-TR"/>
              </w:rPr>
              <w:t>696.829</w:t>
            </w:r>
          </w:p>
        </w:tc>
        <w:tc>
          <w:tcPr>
            <w:tcW w:w="1080" w:type="dxa"/>
            <w:tcBorders>
              <w:top w:val="nil"/>
              <w:left w:val="nil"/>
              <w:bottom w:val="single" w:sz="8" w:space="0" w:color="auto"/>
              <w:right w:val="single" w:sz="8" w:space="0" w:color="auto"/>
            </w:tcBorders>
            <w:noWrap/>
          </w:tcPr>
          <w:p w:rsidR="004847FA" w:rsidRPr="004847FA" w:rsidRDefault="004847FA" w:rsidP="00B25AD8">
            <w:pPr>
              <w:spacing w:after="0"/>
              <w:jc w:val="right"/>
              <w:rPr>
                <w:rFonts w:ascii="Times New Roman" w:eastAsia="Times New Roman" w:hAnsi="Times New Roman" w:cs="Times New Roman"/>
                <w:sz w:val="24"/>
                <w:szCs w:val="24"/>
                <w:lang w:eastAsia="tr-TR"/>
              </w:rPr>
            </w:pPr>
            <w:r w:rsidRPr="004847FA">
              <w:rPr>
                <w:rFonts w:ascii="Times New Roman" w:eastAsia="Times New Roman" w:hAnsi="Times New Roman" w:cs="Times New Roman"/>
                <w:sz w:val="24"/>
                <w:szCs w:val="24"/>
                <w:lang w:eastAsia="tr-TR"/>
              </w:rPr>
              <w:t>765.260</w:t>
            </w:r>
          </w:p>
        </w:tc>
        <w:tc>
          <w:tcPr>
            <w:tcW w:w="1036" w:type="dxa"/>
            <w:tcBorders>
              <w:top w:val="nil"/>
              <w:left w:val="nil"/>
              <w:bottom w:val="single" w:sz="8" w:space="0" w:color="auto"/>
              <w:right w:val="single" w:sz="8" w:space="0" w:color="auto"/>
            </w:tcBorders>
          </w:tcPr>
          <w:p w:rsidR="004847FA" w:rsidRPr="004847FA" w:rsidRDefault="004847FA" w:rsidP="00B25AD8">
            <w:pPr>
              <w:spacing w:after="0"/>
              <w:jc w:val="right"/>
              <w:rPr>
                <w:rFonts w:ascii="Times New Roman" w:eastAsia="Times New Roman" w:hAnsi="Times New Roman" w:cs="Times New Roman"/>
                <w:sz w:val="24"/>
                <w:szCs w:val="24"/>
                <w:lang w:eastAsia="tr-TR"/>
              </w:rPr>
            </w:pPr>
            <w:r w:rsidRPr="004847FA">
              <w:rPr>
                <w:rFonts w:ascii="Times New Roman" w:eastAsia="Times New Roman" w:hAnsi="Times New Roman" w:cs="Times New Roman"/>
                <w:sz w:val="24"/>
                <w:szCs w:val="24"/>
                <w:lang w:eastAsia="tr-TR"/>
              </w:rPr>
              <w:t>842.348</w:t>
            </w:r>
          </w:p>
        </w:tc>
      </w:tr>
      <w:tr w:rsidR="004847FA" w:rsidRPr="00932F51" w:rsidTr="00FE5FD0">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4847FA" w:rsidRPr="00932F51" w:rsidRDefault="004847FA"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Bütçesi Vergi Gelirleri (Net) </w:t>
            </w:r>
          </w:p>
        </w:tc>
        <w:tc>
          <w:tcPr>
            <w:tcW w:w="1007" w:type="dxa"/>
            <w:tcBorders>
              <w:top w:val="nil"/>
              <w:left w:val="nil"/>
              <w:bottom w:val="single" w:sz="8" w:space="0" w:color="auto"/>
              <w:right w:val="single" w:sz="8" w:space="0" w:color="auto"/>
            </w:tcBorders>
            <w:noWrap/>
            <w:vAlign w:val="bottom"/>
          </w:tcPr>
          <w:p w:rsidR="004847FA" w:rsidRPr="00D83AFD" w:rsidRDefault="004847FA" w:rsidP="00B25AD8">
            <w:pPr>
              <w:spacing w:after="0"/>
              <w:jc w:val="right"/>
              <w:rPr>
                <w:rFonts w:ascii="Times New Roman" w:eastAsia="Times New Roman" w:hAnsi="Times New Roman" w:cs="Times New Roman"/>
                <w:sz w:val="24"/>
                <w:szCs w:val="24"/>
                <w:lang w:eastAsia="tr-TR"/>
              </w:rPr>
            </w:pPr>
            <w:r w:rsidRPr="004847FA">
              <w:rPr>
                <w:rFonts w:ascii="Times New Roman" w:eastAsia="Times New Roman" w:hAnsi="Times New Roman" w:cs="Times New Roman"/>
                <w:sz w:val="24"/>
                <w:szCs w:val="24"/>
                <w:lang w:eastAsia="tr-TR"/>
              </w:rPr>
              <w:t>599.425</w:t>
            </w:r>
          </w:p>
        </w:tc>
        <w:tc>
          <w:tcPr>
            <w:tcW w:w="1080" w:type="dxa"/>
            <w:tcBorders>
              <w:top w:val="nil"/>
              <w:left w:val="nil"/>
              <w:bottom w:val="single" w:sz="8" w:space="0" w:color="auto"/>
              <w:right w:val="single" w:sz="8" w:space="0" w:color="auto"/>
            </w:tcBorders>
            <w:noWrap/>
          </w:tcPr>
          <w:p w:rsidR="004847FA" w:rsidRPr="004847FA" w:rsidRDefault="004847FA" w:rsidP="00B25AD8">
            <w:pPr>
              <w:spacing w:after="0"/>
              <w:jc w:val="right"/>
              <w:rPr>
                <w:rFonts w:ascii="Times New Roman" w:eastAsia="Times New Roman" w:hAnsi="Times New Roman" w:cs="Times New Roman"/>
                <w:sz w:val="24"/>
                <w:szCs w:val="24"/>
                <w:lang w:eastAsia="tr-TR"/>
              </w:rPr>
            </w:pPr>
            <w:r w:rsidRPr="004847FA">
              <w:rPr>
                <w:rFonts w:ascii="Times New Roman" w:eastAsia="Times New Roman" w:hAnsi="Times New Roman" w:cs="Times New Roman"/>
                <w:sz w:val="24"/>
                <w:szCs w:val="24"/>
                <w:lang w:eastAsia="tr-TR"/>
              </w:rPr>
              <w:t>663.872</w:t>
            </w:r>
          </w:p>
        </w:tc>
        <w:tc>
          <w:tcPr>
            <w:tcW w:w="1036" w:type="dxa"/>
            <w:tcBorders>
              <w:top w:val="nil"/>
              <w:left w:val="nil"/>
              <w:bottom w:val="single" w:sz="8" w:space="0" w:color="auto"/>
              <w:right w:val="single" w:sz="8" w:space="0" w:color="auto"/>
            </w:tcBorders>
          </w:tcPr>
          <w:p w:rsidR="004847FA" w:rsidRPr="004847FA" w:rsidRDefault="004847FA" w:rsidP="00B25AD8">
            <w:pPr>
              <w:spacing w:after="0"/>
              <w:jc w:val="right"/>
              <w:rPr>
                <w:rFonts w:ascii="Times New Roman" w:eastAsia="Times New Roman" w:hAnsi="Times New Roman" w:cs="Times New Roman"/>
                <w:sz w:val="24"/>
                <w:szCs w:val="24"/>
                <w:lang w:eastAsia="tr-TR"/>
              </w:rPr>
            </w:pPr>
            <w:r w:rsidRPr="004847FA">
              <w:rPr>
                <w:rFonts w:ascii="Times New Roman" w:eastAsia="Times New Roman" w:hAnsi="Times New Roman" w:cs="Times New Roman"/>
                <w:sz w:val="24"/>
                <w:szCs w:val="24"/>
                <w:lang w:eastAsia="tr-TR"/>
              </w:rPr>
              <w:t>730.542</w:t>
            </w:r>
          </w:p>
        </w:tc>
      </w:tr>
    </w:tbl>
    <w:p w:rsidR="002D5A7B" w:rsidRPr="00932F51" w:rsidRDefault="002D5A7B" w:rsidP="00933401">
      <w:pPr>
        <w:spacing w:before="240" w:after="120"/>
        <w:ind w:firstLine="708"/>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7- Merkezi Yönetim Bütçe Gelirlerinin GSYH’ye Oranı (%)</w:t>
      </w:r>
    </w:p>
    <w:tbl>
      <w:tblPr>
        <w:tblW w:w="8914" w:type="dxa"/>
        <w:jc w:val="center"/>
        <w:tblCellMar>
          <w:left w:w="70" w:type="dxa"/>
          <w:right w:w="70" w:type="dxa"/>
        </w:tblCellMar>
        <w:tblLook w:val="00A0" w:firstRow="1" w:lastRow="0" w:firstColumn="1" w:lastColumn="0" w:noHBand="0" w:noVBand="0"/>
      </w:tblPr>
      <w:tblGrid>
        <w:gridCol w:w="5796"/>
        <w:gridCol w:w="1071"/>
        <w:gridCol w:w="1055"/>
        <w:gridCol w:w="992"/>
      </w:tblGrid>
      <w:tr w:rsidR="00932F51" w:rsidRPr="00932F51" w:rsidTr="004847FA">
        <w:trPr>
          <w:trHeight w:val="20"/>
          <w:jc w:val="center"/>
        </w:trPr>
        <w:tc>
          <w:tcPr>
            <w:tcW w:w="5796"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bookmarkStart w:id="6" w:name="_Hlk274314085"/>
          </w:p>
        </w:tc>
        <w:tc>
          <w:tcPr>
            <w:tcW w:w="1071" w:type="dxa"/>
            <w:tcBorders>
              <w:top w:val="single" w:sz="8" w:space="0" w:color="auto"/>
              <w:left w:val="nil"/>
              <w:bottom w:val="single" w:sz="8" w:space="0" w:color="auto"/>
              <w:right w:val="single" w:sz="8" w:space="0" w:color="auto"/>
            </w:tcBorders>
            <w:noWrap/>
            <w:vAlign w:val="center"/>
            <w:hideMark/>
          </w:tcPr>
          <w:p w:rsidR="002D5A7B" w:rsidRPr="004847FA" w:rsidRDefault="0083319A" w:rsidP="00343066">
            <w:pPr>
              <w:spacing w:after="0"/>
              <w:jc w:val="center"/>
              <w:rPr>
                <w:rFonts w:ascii="Times New Roman" w:eastAsia="Times New Roman" w:hAnsi="Times New Roman" w:cs="Times New Roman"/>
                <w:b/>
                <w:bCs/>
                <w:sz w:val="24"/>
                <w:szCs w:val="24"/>
                <w:lang w:eastAsia="tr-TR"/>
              </w:rPr>
            </w:pPr>
            <w:r w:rsidRPr="004847FA">
              <w:rPr>
                <w:rFonts w:ascii="Times New Roman" w:eastAsia="Times New Roman" w:hAnsi="Times New Roman" w:cs="Times New Roman"/>
                <w:b/>
                <w:bCs/>
                <w:sz w:val="24"/>
                <w:szCs w:val="24"/>
                <w:lang w:eastAsia="tr-TR"/>
              </w:rPr>
              <w:t>201</w:t>
            </w:r>
            <w:r w:rsidR="00343066" w:rsidRPr="004847FA">
              <w:rPr>
                <w:rFonts w:ascii="Times New Roman" w:eastAsia="Times New Roman" w:hAnsi="Times New Roman" w:cs="Times New Roman"/>
                <w:b/>
                <w:bCs/>
                <w:sz w:val="24"/>
                <w:szCs w:val="24"/>
                <w:lang w:eastAsia="tr-TR"/>
              </w:rPr>
              <w:t>8</w:t>
            </w:r>
          </w:p>
        </w:tc>
        <w:tc>
          <w:tcPr>
            <w:tcW w:w="1055" w:type="dxa"/>
            <w:tcBorders>
              <w:top w:val="single" w:sz="8" w:space="0" w:color="auto"/>
              <w:left w:val="nil"/>
              <w:bottom w:val="single" w:sz="8" w:space="0" w:color="auto"/>
              <w:right w:val="single" w:sz="8" w:space="0" w:color="auto"/>
            </w:tcBorders>
            <w:noWrap/>
            <w:vAlign w:val="center"/>
            <w:hideMark/>
          </w:tcPr>
          <w:p w:rsidR="002D5A7B" w:rsidRPr="004847FA" w:rsidRDefault="002D5A7B" w:rsidP="00343066">
            <w:pPr>
              <w:spacing w:after="0"/>
              <w:jc w:val="center"/>
              <w:rPr>
                <w:rFonts w:ascii="Times New Roman" w:eastAsia="Times New Roman" w:hAnsi="Times New Roman" w:cs="Times New Roman"/>
                <w:b/>
                <w:bCs/>
                <w:sz w:val="24"/>
                <w:szCs w:val="24"/>
                <w:lang w:eastAsia="tr-TR"/>
              </w:rPr>
            </w:pPr>
            <w:r w:rsidRPr="004847FA">
              <w:rPr>
                <w:rFonts w:ascii="Times New Roman" w:eastAsia="Times New Roman" w:hAnsi="Times New Roman" w:cs="Times New Roman"/>
                <w:b/>
                <w:bCs/>
                <w:sz w:val="24"/>
                <w:szCs w:val="24"/>
                <w:lang w:eastAsia="tr-TR"/>
              </w:rPr>
              <w:t>201</w:t>
            </w:r>
            <w:r w:rsidR="00343066" w:rsidRPr="004847FA">
              <w:rPr>
                <w:rFonts w:ascii="Times New Roman" w:eastAsia="Times New Roman" w:hAnsi="Times New Roman" w:cs="Times New Roman"/>
                <w:b/>
                <w:bCs/>
                <w:sz w:val="24"/>
                <w:szCs w:val="24"/>
                <w:lang w:eastAsia="tr-TR"/>
              </w:rPr>
              <w:t>9</w:t>
            </w:r>
          </w:p>
        </w:tc>
        <w:tc>
          <w:tcPr>
            <w:tcW w:w="992" w:type="dxa"/>
            <w:tcBorders>
              <w:top w:val="single" w:sz="8" w:space="0" w:color="auto"/>
              <w:left w:val="nil"/>
              <w:bottom w:val="single" w:sz="8" w:space="0" w:color="auto"/>
              <w:right w:val="single" w:sz="8" w:space="0" w:color="auto"/>
            </w:tcBorders>
            <w:vAlign w:val="center"/>
            <w:hideMark/>
          </w:tcPr>
          <w:p w:rsidR="002D5A7B" w:rsidRPr="004847FA" w:rsidRDefault="002D5A7B" w:rsidP="00343066">
            <w:pPr>
              <w:spacing w:after="0"/>
              <w:jc w:val="center"/>
              <w:rPr>
                <w:rFonts w:ascii="Times New Roman" w:eastAsia="Times New Roman" w:hAnsi="Times New Roman" w:cs="Times New Roman"/>
                <w:b/>
                <w:bCs/>
                <w:sz w:val="24"/>
                <w:szCs w:val="24"/>
                <w:lang w:eastAsia="tr-TR"/>
              </w:rPr>
            </w:pPr>
            <w:r w:rsidRPr="004847FA">
              <w:rPr>
                <w:rFonts w:ascii="Times New Roman" w:eastAsia="Times New Roman" w:hAnsi="Times New Roman" w:cs="Times New Roman"/>
                <w:b/>
                <w:bCs/>
                <w:sz w:val="24"/>
                <w:szCs w:val="24"/>
                <w:lang w:eastAsia="tr-TR"/>
              </w:rPr>
              <w:t>20</w:t>
            </w:r>
            <w:r w:rsidR="00343066" w:rsidRPr="004847FA">
              <w:rPr>
                <w:rFonts w:ascii="Times New Roman" w:eastAsia="Times New Roman" w:hAnsi="Times New Roman" w:cs="Times New Roman"/>
                <w:b/>
                <w:bCs/>
                <w:sz w:val="24"/>
                <w:szCs w:val="24"/>
                <w:lang w:eastAsia="tr-TR"/>
              </w:rPr>
              <w:t>20</w:t>
            </w:r>
          </w:p>
        </w:tc>
      </w:tr>
      <w:bookmarkEnd w:id="6"/>
      <w:tr w:rsidR="00EF6087" w:rsidRPr="00932F51" w:rsidTr="00B30096">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EF6087" w:rsidRPr="00932F51" w:rsidRDefault="00EF6087" w:rsidP="00933401">
            <w:pPr>
              <w:spacing w:after="0"/>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 Gelirleri (Net)/GSYH </w:t>
            </w:r>
          </w:p>
        </w:tc>
        <w:tc>
          <w:tcPr>
            <w:tcW w:w="1071" w:type="dxa"/>
            <w:tcBorders>
              <w:top w:val="nil"/>
              <w:left w:val="nil"/>
              <w:bottom w:val="single" w:sz="8" w:space="0" w:color="auto"/>
              <w:right w:val="single" w:sz="8" w:space="0" w:color="auto"/>
            </w:tcBorders>
            <w:noWrap/>
            <w:vAlign w:val="bottom"/>
          </w:tcPr>
          <w:p w:rsidR="00EF6087" w:rsidRPr="004A5076" w:rsidRDefault="00EF6087" w:rsidP="00933401">
            <w:pPr>
              <w:spacing w:after="0"/>
              <w:jc w:val="right"/>
              <w:rPr>
                <w:rFonts w:ascii="Times New Roman" w:eastAsia="Times New Roman" w:hAnsi="Times New Roman" w:cs="Times New Roman"/>
                <w:sz w:val="24"/>
                <w:szCs w:val="24"/>
                <w:lang w:eastAsia="tr-TR"/>
              </w:rPr>
            </w:pPr>
            <w:r w:rsidRPr="00EF6087">
              <w:rPr>
                <w:rFonts w:ascii="Times New Roman" w:eastAsia="Times New Roman" w:hAnsi="Times New Roman" w:cs="Times New Roman"/>
                <w:sz w:val="24"/>
                <w:szCs w:val="24"/>
                <w:lang w:eastAsia="tr-TR"/>
              </w:rPr>
              <w:t>20,2</w:t>
            </w:r>
          </w:p>
        </w:tc>
        <w:tc>
          <w:tcPr>
            <w:tcW w:w="1055" w:type="dxa"/>
            <w:tcBorders>
              <w:top w:val="nil"/>
              <w:left w:val="nil"/>
              <w:bottom w:val="single" w:sz="8" w:space="0" w:color="auto"/>
              <w:right w:val="single" w:sz="8" w:space="0" w:color="auto"/>
            </w:tcBorders>
            <w:noWrap/>
          </w:tcPr>
          <w:p w:rsidR="00EF6087" w:rsidRPr="00EF6087" w:rsidRDefault="00EF6087" w:rsidP="00EF6087">
            <w:pPr>
              <w:spacing w:after="0"/>
              <w:jc w:val="right"/>
              <w:rPr>
                <w:rFonts w:ascii="Times New Roman" w:eastAsia="Times New Roman" w:hAnsi="Times New Roman" w:cs="Times New Roman"/>
                <w:sz w:val="24"/>
                <w:szCs w:val="24"/>
                <w:lang w:eastAsia="tr-TR"/>
              </w:rPr>
            </w:pPr>
            <w:r w:rsidRPr="00EF6087">
              <w:rPr>
                <w:rFonts w:ascii="Times New Roman" w:eastAsia="Times New Roman" w:hAnsi="Times New Roman" w:cs="Times New Roman"/>
                <w:sz w:val="24"/>
                <w:szCs w:val="24"/>
                <w:lang w:eastAsia="tr-TR"/>
              </w:rPr>
              <w:t>19,8</w:t>
            </w:r>
          </w:p>
        </w:tc>
        <w:tc>
          <w:tcPr>
            <w:tcW w:w="992" w:type="dxa"/>
            <w:tcBorders>
              <w:top w:val="nil"/>
              <w:left w:val="nil"/>
              <w:bottom w:val="single" w:sz="8" w:space="0" w:color="auto"/>
              <w:right w:val="single" w:sz="8" w:space="0" w:color="auto"/>
            </w:tcBorders>
          </w:tcPr>
          <w:p w:rsidR="00EF6087" w:rsidRPr="00EF6087" w:rsidRDefault="00EF6087" w:rsidP="00EF6087">
            <w:pPr>
              <w:spacing w:after="0"/>
              <w:jc w:val="right"/>
              <w:rPr>
                <w:rFonts w:ascii="Times New Roman" w:eastAsia="Times New Roman" w:hAnsi="Times New Roman" w:cs="Times New Roman"/>
                <w:sz w:val="24"/>
                <w:szCs w:val="24"/>
                <w:lang w:eastAsia="tr-TR"/>
              </w:rPr>
            </w:pPr>
            <w:r w:rsidRPr="00EF6087">
              <w:rPr>
                <w:rFonts w:ascii="Times New Roman" w:eastAsia="Times New Roman" w:hAnsi="Times New Roman" w:cs="Times New Roman"/>
                <w:sz w:val="24"/>
                <w:szCs w:val="24"/>
                <w:lang w:eastAsia="tr-TR"/>
              </w:rPr>
              <w:t>19,5</w:t>
            </w:r>
          </w:p>
        </w:tc>
      </w:tr>
      <w:tr w:rsidR="00EF6087" w:rsidRPr="00932F51" w:rsidTr="008A7154">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EF6087" w:rsidRPr="00932F51" w:rsidRDefault="00EF6087" w:rsidP="00933401">
            <w:pPr>
              <w:spacing w:after="0"/>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Bütçesi Vergi Gelirleri (Net)/GSYH </w:t>
            </w:r>
          </w:p>
        </w:tc>
        <w:tc>
          <w:tcPr>
            <w:tcW w:w="1071" w:type="dxa"/>
            <w:tcBorders>
              <w:top w:val="nil"/>
              <w:left w:val="nil"/>
              <w:bottom w:val="single" w:sz="8" w:space="0" w:color="auto"/>
              <w:right w:val="single" w:sz="8" w:space="0" w:color="auto"/>
            </w:tcBorders>
            <w:noWrap/>
            <w:vAlign w:val="bottom"/>
          </w:tcPr>
          <w:p w:rsidR="00EF6087" w:rsidRPr="004A5076" w:rsidRDefault="00EF6087" w:rsidP="00933401">
            <w:pPr>
              <w:spacing w:after="0"/>
              <w:jc w:val="right"/>
              <w:rPr>
                <w:rFonts w:ascii="Times New Roman" w:eastAsia="Times New Roman" w:hAnsi="Times New Roman" w:cs="Times New Roman"/>
                <w:sz w:val="24"/>
                <w:szCs w:val="24"/>
                <w:lang w:eastAsia="tr-TR"/>
              </w:rPr>
            </w:pPr>
            <w:r w:rsidRPr="00EF6087">
              <w:rPr>
                <w:rFonts w:ascii="Times New Roman" w:eastAsia="Times New Roman" w:hAnsi="Times New Roman" w:cs="Times New Roman"/>
                <w:sz w:val="24"/>
                <w:szCs w:val="24"/>
                <w:lang w:eastAsia="tr-TR"/>
              </w:rPr>
              <w:t>17,4</w:t>
            </w:r>
          </w:p>
        </w:tc>
        <w:tc>
          <w:tcPr>
            <w:tcW w:w="1055" w:type="dxa"/>
            <w:tcBorders>
              <w:top w:val="nil"/>
              <w:left w:val="nil"/>
              <w:bottom w:val="single" w:sz="8" w:space="0" w:color="auto"/>
              <w:right w:val="single" w:sz="8" w:space="0" w:color="auto"/>
            </w:tcBorders>
            <w:noWrap/>
          </w:tcPr>
          <w:p w:rsidR="00EF6087" w:rsidRPr="00EF6087" w:rsidRDefault="00EF6087" w:rsidP="00EF6087">
            <w:pPr>
              <w:spacing w:after="0"/>
              <w:jc w:val="right"/>
              <w:rPr>
                <w:rFonts w:ascii="Times New Roman" w:eastAsia="Times New Roman" w:hAnsi="Times New Roman" w:cs="Times New Roman"/>
                <w:sz w:val="24"/>
                <w:szCs w:val="24"/>
                <w:lang w:eastAsia="tr-TR"/>
              </w:rPr>
            </w:pPr>
            <w:r w:rsidRPr="00EF6087">
              <w:rPr>
                <w:rFonts w:ascii="Times New Roman" w:eastAsia="Times New Roman" w:hAnsi="Times New Roman" w:cs="Times New Roman"/>
                <w:sz w:val="24"/>
                <w:szCs w:val="24"/>
                <w:lang w:eastAsia="tr-TR"/>
              </w:rPr>
              <w:t>17,1</w:t>
            </w:r>
          </w:p>
        </w:tc>
        <w:tc>
          <w:tcPr>
            <w:tcW w:w="992" w:type="dxa"/>
            <w:tcBorders>
              <w:top w:val="nil"/>
              <w:left w:val="nil"/>
              <w:bottom w:val="single" w:sz="8" w:space="0" w:color="auto"/>
              <w:right w:val="single" w:sz="8" w:space="0" w:color="auto"/>
            </w:tcBorders>
          </w:tcPr>
          <w:p w:rsidR="00EF6087" w:rsidRPr="00EF6087" w:rsidRDefault="00EF6087" w:rsidP="00EF6087">
            <w:pPr>
              <w:spacing w:after="0"/>
              <w:jc w:val="right"/>
              <w:rPr>
                <w:rFonts w:ascii="Times New Roman" w:eastAsia="Times New Roman" w:hAnsi="Times New Roman" w:cs="Times New Roman"/>
                <w:sz w:val="24"/>
                <w:szCs w:val="24"/>
                <w:lang w:eastAsia="tr-TR"/>
              </w:rPr>
            </w:pPr>
            <w:r w:rsidRPr="00EF6087">
              <w:rPr>
                <w:rFonts w:ascii="Times New Roman" w:eastAsia="Times New Roman" w:hAnsi="Times New Roman" w:cs="Times New Roman"/>
                <w:sz w:val="24"/>
                <w:szCs w:val="24"/>
                <w:lang w:eastAsia="tr-TR"/>
              </w:rPr>
              <w:t>16,9</w:t>
            </w:r>
          </w:p>
        </w:tc>
      </w:tr>
    </w:tbl>
    <w:p w:rsidR="002D5A7B" w:rsidRDefault="008E2424" w:rsidP="00933401">
      <w:pPr>
        <w:spacing w:before="240"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D61DB7">
        <w:rPr>
          <w:rFonts w:ascii="Times New Roman" w:eastAsia="Times New Roman" w:hAnsi="Times New Roman" w:cs="Times New Roman"/>
          <w:sz w:val="24"/>
          <w:szCs w:val="24"/>
          <w:lang w:eastAsia="tr-TR"/>
        </w:rPr>
        <w:t>2</w:t>
      </w:r>
      <w:r w:rsidR="003F7DA1">
        <w:rPr>
          <w:rFonts w:ascii="Times New Roman" w:eastAsia="Times New Roman" w:hAnsi="Times New Roman" w:cs="Times New Roman"/>
          <w:sz w:val="24"/>
          <w:szCs w:val="24"/>
          <w:lang w:eastAsia="tr-TR"/>
        </w:rPr>
        <w:t xml:space="preserve">. </w:t>
      </w:r>
      <w:r w:rsidR="002D5A7B" w:rsidRPr="00B47FA8">
        <w:rPr>
          <w:rFonts w:ascii="Times New Roman" w:eastAsia="Times New Roman" w:hAnsi="Times New Roman" w:cs="Times New Roman"/>
          <w:sz w:val="24"/>
          <w:szCs w:val="24"/>
          <w:lang w:eastAsia="tr-TR"/>
        </w:rPr>
        <w:t>201</w:t>
      </w:r>
      <w:r w:rsidR="00407FE9" w:rsidRPr="00B47FA8">
        <w:rPr>
          <w:rFonts w:ascii="Times New Roman" w:eastAsia="Times New Roman" w:hAnsi="Times New Roman" w:cs="Times New Roman"/>
          <w:sz w:val="24"/>
          <w:szCs w:val="24"/>
          <w:lang w:eastAsia="tr-TR"/>
        </w:rPr>
        <w:t>8</w:t>
      </w:r>
      <w:r w:rsidR="002D5A7B" w:rsidRPr="00B47FA8">
        <w:rPr>
          <w:rFonts w:ascii="Times New Roman" w:eastAsia="Times New Roman" w:hAnsi="Times New Roman" w:cs="Times New Roman"/>
          <w:sz w:val="24"/>
          <w:szCs w:val="24"/>
          <w:lang w:eastAsia="tr-TR"/>
        </w:rPr>
        <w:t>-20</w:t>
      </w:r>
      <w:r w:rsidR="00407FE9" w:rsidRPr="00B47FA8">
        <w:rPr>
          <w:rFonts w:ascii="Times New Roman" w:eastAsia="Times New Roman" w:hAnsi="Times New Roman" w:cs="Times New Roman"/>
          <w:sz w:val="24"/>
          <w:szCs w:val="24"/>
          <w:lang w:eastAsia="tr-TR"/>
        </w:rPr>
        <w:t>20</w:t>
      </w:r>
      <w:r w:rsidR="002D5A7B" w:rsidRPr="00B47FA8">
        <w:rPr>
          <w:rFonts w:ascii="Times New Roman" w:eastAsia="Times New Roman" w:hAnsi="Times New Roman" w:cs="Times New Roman"/>
          <w:sz w:val="24"/>
          <w:szCs w:val="24"/>
          <w:lang w:eastAsia="tr-TR"/>
        </w:rPr>
        <w:t xml:space="preserve"> </w:t>
      </w:r>
      <w:r w:rsidR="002D5A7B" w:rsidRPr="007B2A0B">
        <w:rPr>
          <w:rFonts w:ascii="Times New Roman" w:eastAsia="Times New Roman" w:hAnsi="Times New Roman" w:cs="Times New Roman"/>
          <w:sz w:val="24"/>
          <w:szCs w:val="24"/>
          <w:lang w:eastAsia="tr-TR"/>
        </w:rPr>
        <w:t xml:space="preserve">Mali Plan dönemi sonunda merkezi yönetim bütçe gelirlerinin GSYH’ye oranının yüzde </w:t>
      </w:r>
      <w:r w:rsidR="00EF6087">
        <w:rPr>
          <w:rFonts w:ascii="Times New Roman" w:eastAsia="Times New Roman" w:hAnsi="Times New Roman" w:cs="Times New Roman"/>
          <w:sz w:val="24"/>
          <w:szCs w:val="24"/>
          <w:lang w:eastAsia="tr-TR"/>
        </w:rPr>
        <w:t>19,5</w:t>
      </w:r>
      <w:r w:rsidR="00654A46" w:rsidRPr="007B2A0B">
        <w:rPr>
          <w:rFonts w:ascii="Times New Roman" w:eastAsia="Times New Roman" w:hAnsi="Times New Roman" w:cs="Times New Roman"/>
          <w:sz w:val="24"/>
          <w:szCs w:val="24"/>
          <w:lang w:eastAsia="tr-TR"/>
        </w:rPr>
        <w:t xml:space="preserve">, </w:t>
      </w:r>
      <w:r w:rsidR="002D5A7B" w:rsidRPr="007B2A0B">
        <w:rPr>
          <w:rFonts w:ascii="Times New Roman" w:eastAsia="Times New Roman" w:hAnsi="Times New Roman" w:cs="Times New Roman"/>
          <w:sz w:val="24"/>
          <w:szCs w:val="24"/>
          <w:lang w:eastAsia="tr-TR"/>
        </w:rPr>
        <w:t xml:space="preserve">vergi gelirlerinin GSYH’ye oranının ise yüzde </w:t>
      </w:r>
      <w:r w:rsidR="00EF6087">
        <w:rPr>
          <w:rFonts w:ascii="Times New Roman" w:eastAsia="Times New Roman" w:hAnsi="Times New Roman" w:cs="Times New Roman"/>
          <w:sz w:val="24"/>
          <w:szCs w:val="24"/>
          <w:lang w:eastAsia="tr-TR"/>
        </w:rPr>
        <w:t>16,9</w:t>
      </w:r>
      <w:r w:rsidR="00654A46" w:rsidRPr="007B2A0B">
        <w:rPr>
          <w:rFonts w:ascii="Times New Roman" w:eastAsia="Times New Roman" w:hAnsi="Times New Roman" w:cs="Times New Roman"/>
          <w:sz w:val="24"/>
          <w:szCs w:val="24"/>
          <w:lang w:eastAsia="tr-TR"/>
        </w:rPr>
        <w:t xml:space="preserve"> </w:t>
      </w:r>
      <w:r w:rsidR="002D5A7B" w:rsidRPr="007B2A0B">
        <w:rPr>
          <w:rFonts w:ascii="Times New Roman" w:eastAsia="Times New Roman" w:hAnsi="Times New Roman" w:cs="Times New Roman"/>
          <w:sz w:val="24"/>
          <w:szCs w:val="24"/>
          <w:lang w:eastAsia="tr-TR"/>
        </w:rPr>
        <w:t>olarak gerçekleşeceği beklenmektedir.</w:t>
      </w:r>
    </w:p>
    <w:p w:rsidR="002D5A7B" w:rsidRPr="00932F51" w:rsidRDefault="002D5A7B" w:rsidP="00933401">
      <w:pPr>
        <w:spacing w:after="120"/>
        <w:ind w:firstLine="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I</w:t>
      </w:r>
      <w:r w:rsidR="00CC6AC3">
        <w:rPr>
          <w:rFonts w:ascii="Times New Roman" w:eastAsia="Times New Roman" w:hAnsi="Times New Roman" w:cs="Times New Roman"/>
          <w:b/>
          <w:sz w:val="24"/>
          <w:szCs w:val="24"/>
          <w:lang w:eastAsia="tr-TR"/>
        </w:rPr>
        <w:t>II</w:t>
      </w:r>
      <w:r w:rsidRPr="00932F51">
        <w:rPr>
          <w:rFonts w:ascii="Times New Roman" w:eastAsia="Times New Roman" w:hAnsi="Times New Roman" w:cs="Times New Roman"/>
          <w:b/>
          <w:sz w:val="24"/>
          <w:szCs w:val="24"/>
          <w:lang w:eastAsia="tr-TR"/>
        </w:rPr>
        <w:t>. MERKEZİ YÖNETİM BÜTÇE AÇIĞININ FİNANSMANI</w:t>
      </w:r>
    </w:p>
    <w:p w:rsidR="002D5A7B" w:rsidRPr="00932F51" w:rsidRDefault="00832FC6" w:rsidP="00933401">
      <w:pPr>
        <w:tabs>
          <w:tab w:val="left" w:pos="567"/>
        </w:tabs>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3F7DA1">
        <w:rPr>
          <w:rFonts w:ascii="Times New Roman" w:eastAsia="Times New Roman" w:hAnsi="Times New Roman" w:cs="Times New Roman"/>
          <w:sz w:val="24"/>
          <w:szCs w:val="24"/>
          <w:lang w:eastAsia="tr-TR"/>
        </w:rPr>
        <w:t>6</w:t>
      </w:r>
      <w:r w:rsidR="00D61DB7">
        <w:rPr>
          <w:rFonts w:ascii="Times New Roman" w:eastAsia="Times New Roman" w:hAnsi="Times New Roman" w:cs="Times New Roman"/>
          <w:sz w:val="24"/>
          <w:szCs w:val="24"/>
          <w:lang w:eastAsia="tr-TR"/>
        </w:rPr>
        <w:t>3</w:t>
      </w:r>
      <w:r w:rsidR="003F7DA1">
        <w:rPr>
          <w:rFonts w:ascii="Times New Roman" w:eastAsia="Times New Roman" w:hAnsi="Times New Roman" w:cs="Times New Roman"/>
          <w:sz w:val="24"/>
          <w:szCs w:val="24"/>
          <w:lang w:eastAsia="tr-TR"/>
        </w:rPr>
        <w:t xml:space="preserve">. </w:t>
      </w:r>
      <w:proofErr w:type="gramStart"/>
      <w:r w:rsidR="002D5A7B" w:rsidRPr="00932F51">
        <w:rPr>
          <w:rFonts w:ascii="Times New Roman" w:eastAsia="Times New Roman" w:hAnsi="Times New Roman" w:cs="Times New Roman"/>
          <w:sz w:val="24"/>
          <w:szCs w:val="24"/>
          <w:lang w:eastAsia="tr-TR"/>
        </w:rPr>
        <w:t>1/9/2002</w:t>
      </w:r>
      <w:proofErr w:type="gramEnd"/>
      <w:r w:rsidR="002D5A7B" w:rsidRPr="00932F51">
        <w:rPr>
          <w:rFonts w:ascii="Times New Roman" w:eastAsia="Times New Roman" w:hAnsi="Times New Roman" w:cs="Times New Roman"/>
          <w:sz w:val="24"/>
          <w:szCs w:val="24"/>
          <w:lang w:eastAsia="tr-TR"/>
        </w:rPr>
        <w:t xml:space="preserve"> tarihli ve 24863 sayılı Resmi Gazetede yayımlanan Borç ve Risk Yönetiminin Koordinasyonu ve Yürütülmesine İlişkin Esas ve Usuller Hakkında Yönetmelik ile</w:t>
      </w:r>
      <w:r w:rsidR="005B36E0" w:rsidRPr="00932F51">
        <w:rPr>
          <w:rFonts w:ascii="Times New Roman" w:eastAsia="Times New Roman" w:hAnsi="Times New Roman" w:cs="Times New Roman"/>
          <w:sz w:val="24"/>
          <w:szCs w:val="24"/>
          <w:lang w:eastAsia="tr-TR"/>
        </w:rPr>
        <w:t xml:space="preserve"> </w:t>
      </w:r>
      <w:r w:rsidR="005B36E0" w:rsidRPr="00563E13">
        <w:rPr>
          <w:rFonts w:ascii="Times New Roman" w:eastAsia="Times New Roman" w:hAnsi="Times New Roman" w:cs="Times New Roman"/>
          <w:sz w:val="24"/>
          <w:szCs w:val="24"/>
          <w:lang w:eastAsia="tr-TR"/>
        </w:rPr>
        <w:t>borç yönetiminin temel ilkeleri</w:t>
      </w:r>
      <w:r w:rsidR="002D5A7B" w:rsidRPr="00932F51">
        <w:rPr>
          <w:rFonts w:ascii="Times New Roman" w:eastAsia="Times New Roman" w:hAnsi="Times New Roman" w:cs="Times New Roman"/>
          <w:sz w:val="24"/>
          <w:szCs w:val="24"/>
          <w:lang w:eastAsia="tr-TR"/>
        </w:rPr>
        <w:t xml:space="preserve">; </w:t>
      </w:r>
    </w:p>
    <w:p w:rsidR="002D5A7B" w:rsidRPr="00932F51" w:rsidRDefault="002D5A7B" w:rsidP="00933401">
      <w:pPr>
        <w:numPr>
          <w:ilvl w:val="0"/>
          <w:numId w:val="3"/>
        </w:numPr>
        <w:spacing w:after="120"/>
        <w:ind w:left="0"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lastRenderedPageBreak/>
        <w:t>Makroekonomik dengeleri gözeterek para ve maliye politikaları ile uyumlu, sürdürülebilir, saydam ve hesap verilebilir bir borçlanma politikası izlenmesi,</w:t>
      </w:r>
    </w:p>
    <w:p w:rsidR="002D5A7B" w:rsidRPr="00793CEE" w:rsidRDefault="002D5A7B" w:rsidP="00933401">
      <w:pPr>
        <w:numPr>
          <w:ilvl w:val="0"/>
          <w:numId w:val="3"/>
        </w:numPr>
        <w:spacing w:after="120"/>
        <w:ind w:left="0" w:firstLine="567"/>
        <w:jc w:val="both"/>
        <w:rPr>
          <w:rFonts w:ascii="Times New Roman" w:eastAsia="Times New Roman" w:hAnsi="Times New Roman" w:cs="Times New Roman"/>
          <w:sz w:val="24"/>
          <w:szCs w:val="24"/>
          <w:lang w:eastAsia="tr-TR"/>
        </w:rPr>
      </w:pPr>
      <w:r w:rsidRPr="00793CEE">
        <w:rPr>
          <w:rFonts w:ascii="Times New Roman" w:eastAsia="Times New Roman" w:hAnsi="Times New Roman" w:cs="Times New Roman"/>
          <w:sz w:val="24"/>
          <w:szCs w:val="24"/>
          <w:lang w:eastAsia="tr-TR"/>
        </w:rPr>
        <w:t>Finansman ihtiyaçlarının, iç ve dış piyasa koşulları ve maliyet unsurları göz önüne alınarak belirlenen risk düzeyi çerçevesinde, orta ve uzun vadede mümkün olan en uygun maliyetle karşılanması</w:t>
      </w:r>
      <w:r w:rsidR="009E7F8E" w:rsidRPr="00793CEE">
        <w:rPr>
          <w:rFonts w:ascii="Times New Roman" w:eastAsia="Times New Roman" w:hAnsi="Times New Roman" w:cs="Times New Roman"/>
          <w:sz w:val="24"/>
          <w:szCs w:val="24"/>
          <w:lang w:eastAsia="tr-TR"/>
        </w:rPr>
        <w:t>,</w:t>
      </w:r>
      <w:r w:rsidR="00793CEE">
        <w:rPr>
          <w:rFonts w:ascii="Times New Roman" w:eastAsia="Times New Roman" w:hAnsi="Times New Roman" w:cs="Times New Roman"/>
          <w:sz w:val="24"/>
          <w:szCs w:val="24"/>
          <w:lang w:eastAsia="tr-TR"/>
        </w:rPr>
        <w:t xml:space="preserve"> </w:t>
      </w:r>
      <w:r w:rsidRPr="00793CEE">
        <w:rPr>
          <w:rFonts w:ascii="Times New Roman" w:eastAsia="Times New Roman" w:hAnsi="Times New Roman" w:cs="Times New Roman"/>
          <w:sz w:val="24"/>
          <w:szCs w:val="24"/>
          <w:lang w:eastAsia="tr-TR"/>
        </w:rPr>
        <w:t>olarak belirlenmiştir.</w:t>
      </w:r>
    </w:p>
    <w:p w:rsidR="002D5A7B" w:rsidRPr="00EF6087" w:rsidRDefault="002D5A7B" w:rsidP="00933401">
      <w:pPr>
        <w:tabs>
          <w:tab w:val="left" w:pos="284"/>
          <w:tab w:val="left" w:pos="567"/>
        </w:tabs>
        <w:spacing w:after="120"/>
        <w:ind w:firstLine="567"/>
        <w:jc w:val="both"/>
        <w:rPr>
          <w:rFonts w:ascii="Times New Roman" w:eastAsia="Times New Roman" w:hAnsi="Times New Roman" w:cs="Times New Roman"/>
          <w:strike/>
          <w:sz w:val="24"/>
          <w:szCs w:val="24"/>
          <w:lang w:eastAsia="tr-TR"/>
        </w:rPr>
      </w:pPr>
      <w:r w:rsidRPr="00EF6087">
        <w:rPr>
          <w:rFonts w:ascii="Times New Roman" w:eastAsia="Times New Roman" w:hAnsi="Times New Roman" w:cs="Times New Roman"/>
          <w:sz w:val="24"/>
          <w:szCs w:val="24"/>
          <w:lang w:eastAsia="tr-TR"/>
        </w:rPr>
        <w:t xml:space="preserve">Söz konusu ilkeler çerçevesinde, merkezi yönetim bütçe açığının finansmanına yönelik olarak stratejik ölçütlere dayalı borçlanma politikaları yürütülmektedir. </w:t>
      </w:r>
    </w:p>
    <w:p w:rsidR="002D5A7B" w:rsidRPr="00EF6087" w:rsidRDefault="003F7DA1" w:rsidP="00933401">
      <w:pPr>
        <w:tabs>
          <w:tab w:val="left" w:pos="567"/>
        </w:tabs>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D61DB7">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 </w:t>
      </w:r>
      <w:r w:rsidR="002D5A7B" w:rsidRPr="00EF6087">
        <w:rPr>
          <w:rFonts w:ascii="Times New Roman" w:eastAsia="Times New Roman" w:hAnsi="Times New Roman" w:cs="Times New Roman"/>
          <w:sz w:val="24"/>
          <w:szCs w:val="24"/>
          <w:lang w:eastAsia="tr-TR"/>
        </w:rPr>
        <w:t>201</w:t>
      </w:r>
      <w:r w:rsidR="004036CC" w:rsidRPr="00EF6087">
        <w:rPr>
          <w:rFonts w:ascii="Times New Roman" w:eastAsia="Times New Roman" w:hAnsi="Times New Roman" w:cs="Times New Roman"/>
          <w:sz w:val="24"/>
          <w:szCs w:val="24"/>
          <w:lang w:eastAsia="tr-TR"/>
        </w:rPr>
        <w:t>8</w:t>
      </w:r>
      <w:r w:rsidR="002D5A7B" w:rsidRPr="00EF6087">
        <w:rPr>
          <w:rFonts w:ascii="Times New Roman" w:eastAsia="Times New Roman" w:hAnsi="Times New Roman" w:cs="Times New Roman"/>
          <w:sz w:val="24"/>
          <w:szCs w:val="24"/>
          <w:lang w:eastAsia="tr-TR"/>
        </w:rPr>
        <w:t>-20</w:t>
      </w:r>
      <w:r w:rsidR="004036CC" w:rsidRPr="00EF6087">
        <w:rPr>
          <w:rFonts w:ascii="Times New Roman" w:eastAsia="Times New Roman" w:hAnsi="Times New Roman" w:cs="Times New Roman"/>
          <w:sz w:val="24"/>
          <w:szCs w:val="24"/>
          <w:lang w:eastAsia="tr-TR"/>
        </w:rPr>
        <w:t>20</w:t>
      </w:r>
      <w:r w:rsidR="002D5A7B" w:rsidRPr="00EF6087">
        <w:rPr>
          <w:rFonts w:ascii="Times New Roman" w:eastAsia="Times New Roman" w:hAnsi="Times New Roman" w:cs="Times New Roman"/>
          <w:sz w:val="24"/>
          <w:szCs w:val="24"/>
          <w:lang w:eastAsia="tr-TR"/>
        </w:rPr>
        <w:t xml:space="preserve"> döneminde </w:t>
      </w:r>
      <w:r w:rsidR="004036CC" w:rsidRPr="00EF6087">
        <w:rPr>
          <w:rFonts w:ascii="Times New Roman" w:eastAsia="Times New Roman" w:hAnsi="Times New Roman" w:cs="Times New Roman"/>
          <w:sz w:val="24"/>
          <w:szCs w:val="24"/>
          <w:lang w:eastAsia="tr-TR"/>
        </w:rPr>
        <w:t xml:space="preserve">de </w:t>
      </w:r>
      <w:r w:rsidR="002D5A7B" w:rsidRPr="00EF6087">
        <w:rPr>
          <w:rFonts w:ascii="Times New Roman" w:eastAsia="Times New Roman" w:hAnsi="Times New Roman" w:cs="Times New Roman"/>
          <w:sz w:val="24"/>
          <w:szCs w:val="24"/>
          <w:lang w:eastAsia="tr-TR"/>
        </w:rPr>
        <w:t>aşağıda sıralanan stratejik ölçütler vasıtasıyla orta ve uzun vadede piyasa risklerinin kontrol altında tutulması hedeflenmektedir.</w:t>
      </w:r>
    </w:p>
    <w:p w:rsidR="002D5A7B" w:rsidRPr="00EF6087" w:rsidRDefault="002D5A7B" w:rsidP="000E33CA">
      <w:pPr>
        <w:numPr>
          <w:ilvl w:val="0"/>
          <w:numId w:val="3"/>
        </w:numPr>
        <w:spacing w:after="120"/>
        <w:ind w:left="0" w:firstLine="567"/>
        <w:jc w:val="both"/>
        <w:rPr>
          <w:rFonts w:ascii="Times New Roman" w:eastAsia="Times New Roman" w:hAnsi="Times New Roman" w:cs="Times New Roman"/>
          <w:sz w:val="24"/>
          <w:szCs w:val="24"/>
          <w:lang w:eastAsia="tr-TR"/>
        </w:rPr>
      </w:pPr>
      <w:r w:rsidRPr="00EF6087">
        <w:rPr>
          <w:rFonts w:ascii="Times New Roman" w:eastAsia="Times New Roman" w:hAnsi="Times New Roman" w:cs="Times New Roman"/>
          <w:sz w:val="24"/>
          <w:szCs w:val="24"/>
          <w:lang w:eastAsia="tr-TR"/>
        </w:rPr>
        <w:t xml:space="preserve">Likidite Riski: Nakit ve borç yönetiminde oluşabilecek likidite riskinin azaltılması amacıyla güçlü </w:t>
      </w:r>
      <w:r w:rsidR="007B7CBC" w:rsidRPr="00EF6087">
        <w:rPr>
          <w:rFonts w:ascii="Times New Roman" w:eastAsia="Times New Roman" w:hAnsi="Times New Roman" w:cs="Times New Roman"/>
          <w:sz w:val="24"/>
          <w:szCs w:val="24"/>
          <w:lang w:eastAsia="tr-TR"/>
        </w:rPr>
        <w:t xml:space="preserve">nakit </w:t>
      </w:r>
      <w:r w:rsidRPr="00EF6087">
        <w:rPr>
          <w:rFonts w:ascii="Times New Roman" w:eastAsia="Times New Roman" w:hAnsi="Times New Roman" w:cs="Times New Roman"/>
          <w:sz w:val="24"/>
          <w:szCs w:val="24"/>
          <w:lang w:eastAsia="tr-TR"/>
        </w:rPr>
        <w:t>rezerv</w:t>
      </w:r>
      <w:r w:rsidR="007B7CBC" w:rsidRPr="00EF6087">
        <w:rPr>
          <w:rFonts w:ascii="Times New Roman" w:eastAsia="Times New Roman" w:hAnsi="Times New Roman" w:cs="Times New Roman"/>
          <w:sz w:val="24"/>
          <w:szCs w:val="24"/>
          <w:lang w:eastAsia="tr-TR"/>
        </w:rPr>
        <w:t>i</w:t>
      </w:r>
      <w:r w:rsidRPr="00EF6087">
        <w:rPr>
          <w:rFonts w:ascii="Times New Roman" w:eastAsia="Times New Roman" w:hAnsi="Times New Roman" w:cs="Times New Roman"/>
          <w:sz w:val="24"/>
          <w:szCs w:val="24"/>
          <w:lang w:eastAsia="tr-TR"/>
        </w:rPr>
        <w:t xml:space="preserve"> tutulması ve ortalama vadenin piyasa koşulları elverdiği ölçüde uzatılarak vadesine 12 aydan az kalmış senetlerin </w:t>
      </w:r>
      <w:r w:rsidR="007B7CBC" w:rsidRPr="00EF6087">
        <w:rPr>
          <w:rFonts w:ascii="Times New Roman" w:eastAsia="Times New Roman" w:hAnsi="Times New Roman" w:cs="Times New Roman"/>
          <w:sz w:val="24"/>
          <w:szCs w:val="24"/>
          <w:lang w:eastAsia="tr-TR"/>
        </w:rPr>
        <w:t xml:space="preserve">borç stoku içindeki </w:t>
      </w:r>
      <w:r w:rsidRPr="00EF6087">
        <w:rPr>
          <w:rFonts w:ascii="Times New Roman" w:eastAsia="Times New Roman" w:hAnsi="Times New Roman" w:cs="Times New Roman"/>
          <w:sz w:val="24"/>
          <w:szCs w:val="24"/>
          <w:lang w:eastAsia="tr-TR"/>
        </w:rPr>
        <w:t>payının azaltılması,</w:t>
      </w:r>
    </w:p>
    <w:p w:rsidR="002D5A7B" w:rsidRPr="00EF6087" w:rsidRDefault="002D5A7B" w:rsidP="00BF19B0">
      <w:pPr>
        <w:numPr>
          <w:ilvl w:val="0"/>
          <w:numId w:val="3"/>
        </w:numPr>
        <w:spacing w:after="120"/>
        <w:ind w:left="0" w:firstLine="567"/>
        <w:jc w:val="both"/>
        <w:rPr>
          <w:rFonts w:ascii="Times New Roman" w:eastAsia="Times New Roman" w:hAnsi="Times New Roman" w:cs="Times New Roman"/>
          <w:sz w:val="24"/>
          <w:szCs w:val="24"/>
          <w:lang w:eastAsia="tr-TR"/>
        </w:rPr>
      </w:pPr>
      <w:r w:rsidRPr="00EF6087">
        <w:rPr>
          <w:rFonts w:ascii="Times New Roman" w:eastAsia="Times New Roman" w:hAnsi="Times New Roman" w:cs="Times New Roman"/>
          <w:sz w:val="24"/>
          <w:szCs w:val="24"/>
          <w:lang w:eastAsia="tr-TR"/>
        </w:rPr>
        <w:t xml:space="preserve">Faiz Riski: TL cinsi borçlanmanın ağırlıklı olarak sabit faizli </w:t>
      </w:r>
      <w:proofErr w:type="gramStart"/>
      <w:r w:rsidRPr="00EF6087">
        <w:rPr>
          <w:rFonts w:ascii="Times New Roman" w:eastAsia="Times New Roman" w:hAnsi="Times New Roman" w:cs="Times New Roman"/>
          <w:sz w:val="24"/>
          <w:szCs w:val="24"/>
          <w:lang w:eastAsia="tr-TR"/>
        </w:rPr>
        <w:t>enstrümanlarla</w:t>
      </w:r>
      <w:proofErr w:type="gramEnd"/>
      <w:r w:rsidRPr="00EF6087">
        <w:rPr>
          <w:rFonts w:ascii="Times New Roman" w:eastAsia="Times New Roman" w:hAnsi="Times New Roman" w:cs="Times New Roman"/>
          <w:sz w:val="24"/>
          <w:szCs w:val="24"/>
          <w:lang w:eastAsia="tr-TR"/>
        </w:rPr>
        <w:t xml:space="preserve"> yapılarak gelecek 12 ayda faizi yenilenecek senetlerin</w:t>
      </w:r>
      <w:r w:rsidR="007B7CBC" w:rsidRPr="00EF6087">
        <w:rPr>
          <w:rFonts w:ascii="Times New Roman" w:eastAsia="Times New Roman" w:hAnsi="Times New Roman" w:cs="Times New Roman"/>
          <w:sz w:val="24"/>
          <w:szCs w:val="24"/>
          <w:lang w:eastAsia="tr-TR"/>
        </w:rPr>
        <w:t xml:space="preserve"> borç stoku içindeki</w:t>
      </w:r>
      <w:r w:rsidRPr="00EF6087">
        <w:rPr>
          <w:rFonts w:ascii="Times New Roman" w:eastAsia="Times New Roman" w:hAnsi="Times New Roman" w:cs="Times New Roman"/>
          <w:sz w:val="24"/>
          <w:szCs w:val="24"/>
          <w:lang w:eastAsia="tr-TR"/>
        </w:rPr>
        <w:t xml:space="preserve"> payının azaltılması,</w:t>
      </w:r>
    </w:p>
    <w:p w:rsidR="002D5A7B" w:rsidRPr="00EF6087" w:rsidRDefault="002D5A7B" w:rsidP="00BF19B0">
      <w:pPr>
        <w:numPr>
          <w:ilvl w:val="0"/>
          <w:numId w:val="3"/>
        </w:numPr>
        <w:spacing w:after="120"/>
        <w:ind w:left="0" w:firstLine="567"/>
        <w:jc w:val="both"/>
        <w:rPr>
          <w:rFonts w:ascii="Times New Roman" w:eastAsia="Times New Roman" w:hAnsi="Times New Roman" w:cs="Times New Roman"/>
          <w:sz w:val="24"/>
          <w:szCs w:val="24"/>
          <w:lang w:eastAsia="tr-TR"/>
        </w:rPr>
      </w:pPr>
      <w:r w:rsidRPr="00EF6087">
        <w:rPr>
          <w:rFonts w:ascii="Times New Roman" w:eastAsia="Times New Roman" w:hAnsi="Times New Roman" w:cs="Times New Roman"/>
          <w:sz w:val="24"/>
          <w:szCs w:val="24"/>
          <w:lang w:eastAsia="tr-TR"/>
        </w:rPr>
        <w:t xml:space="preserve">Döviz Kuru Riski: Borçlanmanın ağırlıklı olarak TL cinsinden yapılması. </w:t>
      </w:r>
    </w:p>
    <w:p w:rsidR="002D5A7B" w:rsidRPr="00EF6087" w:rsidRDefault="002D5A7B" w:rsidP="00933401">
      <w:pPr>
        <w:spacing w:before="240" w:after="120"/>
        <w:ind w:firstLine="567"/>
        <w:jc w:val="both"/>
        <w:rPr>
          <w:rFonts w:ascii="Times New Roman" w:eastAsia="Times New Roman" w:hAnsi="Times New Roman" w:cs="Times New Roman"/>
          <w:sz w:val="24"/>
          <w:szCs w:val="24"/>
          <w:lang w:eastAsia="tr-TR"/>
        </w:rPr>
      </w:pPr>
      <w:r w:rsidRPr="00EF6087">
        <w:rPr>
          <w:rFonts w:ascii="Times New Roman" w:eastAsia="Times New Roman" w:hAnsi="Times New Roman" w:cs="Times New Roman"/>
          <w:sz w:val="24"/>
          <w:szCs w:val="24"/>
          <w:lang w:eastAsia="tr-TR"/>
        </w:rPr>
        <w:t>Söz konusu stratejik ölçütlerle uyumlu olarak hazırlanan finansman programı çerçevesinde, iç borçlanma stratejileri, i</w:t>
      </w:r>
      <w:r w:rsidR="001F4733" w:rsidRPr="00EF6087">
        <w:rPr>
          <w:rFonts w:ascii="Times New Roman" w:eastAsia="Times New Roman" w:hAnsi="Times New Roman" w:cs="Times New Roman"/>
          <w:sz w:val="24"/>
          <w:szCs w:val="24"/>
          <w:lang w:eastAsia="tr-TR"/>
        </w:rPr>
        <w:t>hale duyuruları gibi borçlanma işlemlerine</w:t>
      </w:r>
      <w:r w:rsidRPr="00EF6087">
        <w:rPr>
          <w:rFonts w:ascii="Times New Roman" w:eastAsia="Times New Roman" w:hAnsi="Times New Roman" w:cs="Times New Roman"/>
          <w:sz w:val="24"/>
          <w:szCs w:val="24"/>
          <w:lang w:eastAsia="tr-TR"/>
        </w:rPr>
        <w:t xml:space="preserve"> ilişkin bilgiler</w:t>
      </w:r>
      <w:r w:rsidR="0020312C" w:rsidRPr="00EF6087">
        <w:rPr>
          <w:rFonts w:ascii="Times New Roman" w:eastAsia="Times New Roman" w:hAnsi="Times New Roman" w:cs="Times New Roman"/>
          <w:sz w:val="24"/>
          <w:szCs w:val="24"/>
          <w:lang w:eastAsia="tr-TR"/>
        </w:rPr>
        <w:t xml:space="preserve"> </w:t>
      </w:r>
      <w:r w:rsidRPr="00EF6087">
        <w:rPr>
          <w:rFonts w:ascii="Times New Roman" w:eastAsia="Times New Roman" w:hAnsi="Times New Roman" w:cs="Times New Roman"/>
          <w:sz w:val="24"/>
          <w:szCs w:val="24"/>
          <w:lang w:eastAsia="tr-TR"/>
        </w:rPr>
        <w:t xml:space="preserve">düzenli olarak </w:t>
      </w:r>
      <w:r w:rsidR="007B7CBC" w:rsidRPr="00EF6087">
        <w:rPr>
          <w:rFonts w:ascii="Times New Roman" w:eastAsia="Times New Roman" w:hAnsi="Times New Roman" w:cs="Times New Roman"/>
          <w:sz w:val="24"/>
          <w:szCs w:val="24"/>
          <w:lang w:eastAsia="tr-TR"/>
        </w:rPr>
        <w:t xml:space="preserve">kamuoyuna </w:t>
      </w:r>
      <w:r w:rsidRPr="00EF6087">
        <w:rPr>
          <w:rFonts w:ascii="Times New Roman" w:eastAsia="Times New Roman" w:hAnsi="Times New Roman" w:cs="Times New Roman"/>
          <w:sz w:val="24"/>
          <w:szCs w:val="24"/>
          <w:lang w:eastAsia="tr-TR"/>
        </w:rPr>
        <w:t>açıklanma</w:t>
      </w:r>
      <w:r w:rsidR="007B7CBC" w:rsidRPr="00EF6087">
        <w:rPr>
          <w:rFonts w:ascii="Times New Roman" w:eastAsia="Times New Roman" w:hAnsi="Times New Roman" w:cs="Times New Roman"/>
          <w:sz w:val="24"/>
          <w:szCs w:val="24"/>
          <w:lang w:eastAsia="tr-TR"/>
        </w:rPr>
        <w:t>ya</w:t>
      </w:r>
      <w:r w:rsidR="00E452F2" w:rsidRPr="00EF6087">
        <w:rPr>
          <w:rFonts w:ascii="Times New Roman" w:eastAsia="Times New Roman" w:hAnsi="Times New Roman" w:cs="Times New Roman"/>
          <w:sz w:val="24"/>
          <w:szCs w:val="24"/>
          <w:lang w:eastAsia="tr-TR"/>
        </w:rPr>
        <w:t xml:space="preserve"> devam edilecektir. Ayrıca</w:t>
      </w:r>
      <w:r w:rsidRPr="00EF6087">
        <w:rPr>
          <w:rFonts w:ascii="Times New Roman" w:eastAsia="Times New Roman" w:hAnsi="Times New Roman" w:cs="Times New Roman"/>
          <w:sz w:val="24"/>
          <w:szCs w:val="24"/>
          <w:lang w:eastAsia="tr-TR"/>
        </w:rPr>
        <w:t xml:space="preserve"> ikincil piyasada sağlıklı bir verim eğrisinin oluşması ve likiditenin sağlanmasına yönelik olarak senetlerin azalan vadelerde yeniden ihraç edilmesi politikası sürdürülecektir. </w:t>
      </w:r>
    </w:p>
    <w:p w:rsidR="002D5A7B" w:rsidRPr="00EF6087" w:rsidRDefault="003F7DA1"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D61DB7">
        <w:rPr>
          <w:rFonts w:ascii="Times New Roman" w:eastAsia="Times New Roman" w:hAnsi="Times New Roman" w:cs="Times New Roman"/>
          <w:sz w:val="24"/>
          <w:szCs w:val="24"/>
          <w:lang w:eastAsia="tr-TR"/>
        </w:rPr>
        <w:t>5</w:t>
      </w:r>
      <w:r>
        <w:rPr>
          <w:rFonts w:ascii="Times New Roman" w:eastAsia="Times New Roman" w:hAnsi="Times New Roman" w:cs="Times New Roman"/>
          <w:sz w:val="24"/>
          <w:szCs w:val="24"/>
          <w:lang w:eastAsia="tr-TR"/>
        </w:rPr>
        <w:t xml:space="preserve">. </w:t>
      </w:r>
      <w:r w:rsidR="007B7CBC" w:rsidRPr="00EF6087">
        <w:rPr>
          <w:rFonts w:ascii="Times New Roman" w:eastAsia="Times New Roman" w:hAnsi="Times New Roman" w:cs="Times New Roman"/>
          <w:sz w:val="24"/>
          <w:szCs w:val="24"/>
          <w:lang w:eastAsia="tr-TR"/>
        </w:rPr>
        <w:t>201</w:t>
      </w:r>
      <w:r w:rsidR="00CD77AF" w:rsidRPr="00EF6087">
        <w:rPr>
          <w:rFonts w:ascii="Times New Roman" w:eastAsia="Times New Roman" w:hAnsi="Times New Roman" w:cs="Times New Roman"/>
          <w:sz w:val="24"/>
          <w:szCs w:val="24"/>
          <w:lang w:eastAsia="tr-TR"/>
        </w:rPr>
        <w:t>8</w:t>
      </w:r>
      <w:r w:rsidR="007B7CBC" w:rsidRPr="00EF6087">
        <w:rPr>
          <w:rFonts w:ascii="Times New Roman" w:eastAsia="Times New Roman" w:hAnsi="Times New Roman" w:cs="Times New Roman"/>
          <w:sz w:val="24"/>
          <w:szCs w:val="24"/>
          <w:lang w:eastAsia="tr-TR"/>
        </w:rPr>
        <w:t>-20</w:t>
      </w:r>
      <w:r w:rsidR="00CD77AF" w:rsidRPr="00EF6087">
        <w:rPr>
          <w:rFonts w:ascii="Times New Roman" w:eastAsia="Times New Roman" w:hAnsi="Times New Roman" w:cs="Times New Roman"/>
          <w:sz w:val="24"/>
          <w:szCs w:val="24"/>
          <w:lang w:eastAsia="tr-TR"/>
        </w:rPr>
        <w:t>20</w:t>
      </w:r>
      <w:r w:rsidR="007B7CBC" w:rsidRPr="00EF6087">
        <w:rPr>
          <w:rFonts w:ascii="Times New Roman" w:eastAsia="Times New Roman" w:hAnsi="Times New Roman" w:cs="Times New Roman"/>
          <w:sz w:val="24"/>
          <w:szCs w:val="24"/>
          <w:lang w:eastAsia="tr-TR"/>
        </w:rPr>
        <w:t xml:space="preserve"> dönemine ilişkin </w:t>
      </w:r>
      <w:r w:rsidR="002D5A7B" w:rsidRPr="00EF6087">
        <w:rPr>
          <w:rFonts w:ascii="Times New Roman" w:eastAsia="Times New Roman" w:hAnsi="Times New Roman" w:cs="Times New Roman"/>
          <w:sz w:val="24"/>
          <w:szCs w:val="24"/>
          <w:lang w:eastAsia="tr-TR"/>
        </w:rPr>
        <w:t xml:space="preserve">AB tanımlı genel yönetim borç stokunun GSYH’ye oranının seyri </w:t>
      </w:r>
      <w:r w:rsidR="00B22ED5" w:rsidRPr="00EF6087">
        <w:rPr>
          <w:rFonts w:ascii="Times New Roman" w:eastAsia="Times New Roman" w:hAnsi="Times New Roman" w:cs="Times New Roman"/>
          <w:sz w:val="24"/>
          <w:szCs w:val="24"/>
          <w:lang w:eastAsia="tr-TR"/>
        </w:rPr>
        <w:t>aşağıdaki tabloda sunulmaktadır.</w:t>
      </w:r>
    </w:p>
    <w:p w:rsidR="002D5A7B" w:rsidRPr="00CF6B4E" w:rsidRDefault="002D5A7B" w:rsidP="00933401">
      <w:pPr>
        <w:spacing w:after="120"/>
        <w:ind w:firstLine="567"/>
        <w:jc w:val="both"/>
        <w:rPr>
          <w:rFonts w:ascii="Times New Roman" w:eastAsia="Times New Roman" w:hAnsi="Times New Roman" w:cs="Times New Roman"/>
          <w:sz w:val="24"/>
          <w:szCs w:val="24"/>
          <w:lang w:eastAsia="tr-TR"/>
        </w:rPr>
      </w:pPr>
      <w:r w:rsidRPr="00CF6B4E">
        <w:rPr>
          <w:rFonts w:ascii="Times New Roman" w:eastAsia="Times New Roman" w:hAnsi="Times New Roman" w:cs="Times New Roman"/>
          <w:b/>
          <w:sz w:val="24"/>
          <w:szCs w:val="24"/>
          <w:lang w:eastAsia="tr-TR"/>
        </w:rPr>
        <w:t>Tablo 8-AB Tanımlı Genel Yönetim Borç Stokunun GSYH’ye</w:t>
      </w:r>
      <w:r w:rsidR="000E4296" w:rsidRPr="00CF6B4E">
        <w:rPr>
          <w:rFonts w:ascii="Times New Roman" w:eastAsia="Times New Roman" w:hAnsi="Times New Roman" w:cs="Times New Roman"/>
          <w:b/>
          <w:sz w:val="24"/>
          <w:szCs w:val="24"/>
          <w:lang w:eastAsia="tr-TR"/>
        </w:rPr>
        <w:t xml:space="preserve"> </w:t>
      </w:r>
      <w:r w:rsidRPr="00CF6B4E">
        <w:rPr>
          <w:rFonts w:ascii="Times New Roman" w:eastAsia="Times New Roman" w:hAnsi="Times New Roman" w:cs="Times New Roman"/>
          <w:b/>
          <w:sz w:val="24"/>
          <w:szCs w:val="24"/>
          <w:lang w:eastAsia="tr-TR"/>
        </w:rPr>
        <w:t>Oranı (%)</w:t>
      </w:r>
      <w:r w:rsidR="00D274F6" w:rsidRPr="00CF6B4E">
        <w:rPr>
          <w:rFonts w:ascii="Times New Roman" w:eastAsia="Times New Roman" w:hAnsi="Times New Roman" w:cs="Times New Roman"/>
          <w:b/>
          <w:sz w:val="24"/>
          <w:szCs w:val="24"/>
          <w:lang w:eastAsia="tr-TR"/>
        </w:rPr>
        <w:t xml:space="preserve"> </w:t>
      </w:r>
    </w:p>
    <w:tbl>
      <w:tblPr>
        <w:tblW w:w="88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408"/>
        <w:gridCol w:w="1134"/>
        <w:gridCol w:w="1084"/>
        <w:gridCol w:w="1204"/>
      </w:tblGrid>
      <w:tr w:rsidR="00CF6B4E" w:rsidRPr="00CF6B4E" w:rsidTr="00393EE7">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tcPr>
          <w:p w:rsidR="002D5A7B" w:rsidRPr="00CF6B4E" w:rsidRDefault="002D5A7B" w:rsidP="00933401">
            <w:pPr>
              <w:spacing w:after="0"/>
              <w:jc w:val="center"/>
              <w:rPr>
                <w:rFonts w:ascii="Times New Roman" w:eastAsia="Batang" w:hAnsi="Times New Roman" w:cs="Times New Roman"/>
                <w:b/>
                <w:bCs/>
                <w:sz w:val="24"/>
                <w:szCs w:val="24"/>
                <w:lang w:eastAsia="ko-KR"/>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2D5A7B" w:rsidRPr="00CF6B4E" w:rsidRDefault="002D5A7B" w:rsidP="00343066">
            <w:pPr>
              <w:spacing w:after="0"/>
              <w:jc w:val="center"/>
              <w:rPr>
                <w:rFonts w:ascii="Times New Roman" w:eastAsia="Times New Roman" w:hAnsi="Times New Roman" w:cs="Times New Roman"/>
                <w:b/>
                <w:bCs/>
                <w:sz w:val="24"/>
                <w:szCs w:val="24"/>
                <w:lang w:eastAsia="tr-TR"/>
              </w:rPr>
            </w:pPr>
            <w:r w:rsidRPr="00CF6B4E">
              <w:rPr>
                <w:rFonts w:ascii="Times New Roman" w:eastAsia="Times New Roman" w:hAnsi="Times New Roman" w:cs="Times New Roman"/>
                <w:b/>
                <w:bCs/>
                <w:sz w:val="24"/>
                <w:szCs w:val="24"/>
                <w:lang w:eastAsia="tr-TR"/>
              </w:rPr>
              <w:t>201</w:t>
            </w:r>
            <w:r w:rsidR="00343066" w:rsidRPr="00CF6B4E">
              <w:rPr>
                <w:rFonts w:ascii="Times New Roman" w:eastAsia="Times New Roman" w:hAnsi="Times New Roman" w:cs="Times New Roman"/>
                <w:b/>
                <w:bCs/>
                <w:sz w:val="24"/>
                <w:szCs w:val="24"/>
                <w:lang w:eastAsia="tr-TR"/>
              </w:rPr>
              <w:t>8</w:t>
            </w:r>
          </w:p>
        </w:tc>
        <w:tc>
          <w:tcPr>
            <w:tcW w:w="1084" w:type="dxa"/>
            <w:tcBorders>
              <w:top w:val="single" w:sz="8" w:space="0" w:color="auto"/>
              <w:left w:val="single" w:sz="8" w:space="0" w:color="auto"/>
              <w:bottom w:val="single" w:sz="8" w:space="0" w:color="auto"/>
              <w:right w:val="single" w:sz="8" w:space="0" w:color="auto"/>
            </w:tcBorders>
            <w:noWrap/>
            <w:vAlign w:val="center"/>
            <w:hideMark/>
          </w:tcPr>
          <w:p w:rsidR="002D5A7B" w:rsidRPr="00CF6B4E" w:rsidRDefault="002D5A7B" w:rsidP="00343066">
            <w:pPr>
              <w:spacing w:after="0"/>
              <w:jc w:val="center"/>
              <w:rPr>
                <w:rFonts w:ascii="Times New Roman" w:eastAsia="Times New Roman" w:hAnsi="Times New Roman" w:cs="Times New Roman"/>
                <w:b/>
                <w:bCs/>
                <w:sz w:val="24"/>
                <w:szCs w:val="24"/>
                <w:lang w:eastAsia="tr-TR"/>
              </w:rPr>
            </w:pPr>
            <w:r w:rsidRPr="00CF6B4E">
              <w:rPr>
                <w:rFonts w:ascii="Times New Roman" w:eastAsia="Times New Roman" w:hAnsi="Times New Roman" w:cs="Times New Roman"/>
                <w:b/>
                <w:bCs/>
                <w:sz w:val="24"/>
                <w:szCs w:val="24"/>
                <w:lang w:eastAsia="tr-TR"/>
              </w:rPr>
              <w:t>201</w:t>
            </w:r>
            <w:r w:rsidR="00343066" w:rsidRPr="00CF6B4E">
              <w:rPr>
                <w:rFonts w:ascii="Times New Roman" w:eastAsia="Times New Roman" w:hAnsi="Times New Roman" w:cs="Times New Roman"/>
                <w:b/>
                <w:bCs/>
                <w:sz w:val="24"/>
                <w:szCs w:val="24"/>
                <w:lang w:eastAsia="tr-TR"/>
              </w:rPr>
              <w:t>9</w:t>
            </w:r>
          </w:p>
        </w:tc>
        <w:tc>
          <w:tcPr>
            <w:tcW w:w="1204" w:type="dxa"/>
            <w:tcBorders>
              <w:top w:val="single" w:sz="8" w:space="0" w:color="auto"/>
              <w:left w:val="single" w:sz="8" w:space="0" w:color="auto"/>
              <w:bottom w:val="single" w:sz="8" w:space="0" w:color="auto"/>
              <w:right w:val="single" w:sz="8" w:space="0" w:color="auto"/>
            </w:tcBorders>
            <w:noWrap/>
            <w:vAlign w:val="center"/>
            <w:hideMark/>
          </w:tcPr>
          <w:p w:rsidR="002D5A7B" w:rsidRPr="00CF6B4E" w:rsidRDefault="002D5A7B" w:rsidP="00343066">
            <w:pPr>
              <w:spacing w:after="0"/>
              <w:jc w:val="center"/>
              <w:rPr>
                <w:rFonts w:ascii="Times New Roman" w:eastAsia="Times New Roman" w:hAnsi="Times New Roman" w:cs="Times New Roman"/>
                <w:b/>
                <w:bCs/>
                <w:sz w:val="24"/>
                <w:szCs w:val="24"/>
                <w:lang w:eastAsia="tr-TR"/>
              </w:rPr>
            </w:pPr>
            <w:r w:rsidRPr="00CF6B4E">
              <w:rPr>
                <w:rFonts w:ascii="Times New Roman" w:eastAsia="Times New Roman" w:hAnsi="Times New Roman" w:cs="Times New Roman"/>
                <w:b/>
                <w:bCs/>
                <w:sz w:val="24"/>
                <w:szCs w:val="24"/>
                <w:lang w:eastAsia="tr-TR"/>
              </w:rPr>
              <w:t>20</w:t>
            </w:r>
            <w:r w:rsidR="00343066" w:rsidRPr="00CF6B4E">
              <w:rPr>
                <w:rFonts w:ascii="Times New Roman" w:eastAsia="Times New Roman" w:hAnsi="Times New Roman" w:cs="Times New Roman"/>
                <w:b/>
                <w:bCs/>
                <w:sz w:val="24"/>
                <w:szCs w:val="24"/>
                <w:lang w:eastAsia="tr-TR"/>
              </w:rPr>
              <w:t>20</w:t>
            </w:r>
          </w:p>
        </w:tc>
      </w:tr>
      <w:tr w:rsidR="00CF6B4E" w:rsidRPr="00CF6B4E" w:rsidTr="00393EE7">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hideMark/>
          </w:tcPr>
          <w:p w:rsidR="002D5A7B" w:rsidRPr="00CF6B4E" w:rsidRDefault="002D5A7B" w:rsidP="00933401">
            <w:pPr>
              <w:spacing w:after="0"/>
              <w:rPr>
                <w:rFonts w:ascii="Times New Roman" w:eastAsia="Batang" w:hAnsi="Times New Roman" w:cs="Times New Roman"/>
                <w:sz w:val="24"/>
                <w:szCs w:val="24"/>
                <w:lang w:eastAsia="ko-KR"/>
              </w:rPr>
            </w:pPr>
            <w:r w:rsidRPr="00CF6B4E">
              <w:rPr>
                <w:rFonts w:ascii="Times New Roman" w:eastAsia="Batang" w:hAnsi="Times New Roman" w:cs="Times New Roman"/>
                <w:sz w:val="24"/>
                <w:szCs w:val="24"/>
                <w:lang w:eastAsia="ko-KR"/>
              </w:rPr>
              <w:t xml:space="preserve">AB Tanımlı Genel Yönetim Borç Stoku/GSYH </w:t>
            </w:r>
          </w:p>
        </w:tc>
        <w:tc>
          <w:tcPr>
            <w:tcW w:w="1134" w:type="dxa"/>
            <w:tcBorders>
              <w:top w:val="single" w:sz="8" w:space="0" w:color="auto"/>
              <w:left w:val="single" w:sz="8" w:space="0" w:color="auto"/>
              <w:bottom w:val="single" w:sz="8" w:space="0" w:color="auto"/>
              <w:right w:val="single" w:sz="8" w:space="0" w:color="auto"/>
            </w:tcBorders>
            <w:noWrap/>
          </w:tcPr>
          <w:p w:rsidR="002D5A7B" w:rsidRPr="00CF6B4E" w:rsidRDefault="00CF6B4E" w:rsidP="00BE1073">
            <w:pPr>
              <w:spacing w:after="0"/>
              <w:jc w:val="right"/>
              <w:rPr>
                <w:rFonts w:ascii="Times New Roman" w:eastAsia="Times New Roman" w:hAnsi="Times New Roman" w:cs="Times New Roman"/>
                <w:sz w:val="24"/>
                <w:szCs w:val="24"/>
                <w:lang w:eastAsia="tr-TR"/>
              </w:rPr>
            </w:pPr>
            <w:r w:rsidRPr="00CF6B4E">
              <w:rPr>
                <w:rFonts w:ascii="Times New Roman" w:eastAsia="Times New Roman" w:hAnsi="Times New Roman" w:cs="Times New Roman"/>
                <w:sz w:val="24"/>
                <w:szCs w:val="24"/>
                <w:lang w:eastAsia="tr-TR"/>
              </w:rPr>
              <w:t>28,5</w:t>
            </w:r>
          </w:p>
        </w:tc>
        <w:tc>
          <w:tcPr>
            <w:tcW w:w="1084" w:type="dxa"/>
            <w:tcBorders>
              <w:top w:val="single" w:sz="8" w:space="0" w:color="auto"/>
              <w:left w:val="single" w:sz="8" w:space="0" w:color="auto"/>
              <w:bottom w:val="single" w:sz="8" w:space="0" w:color="auto"/>
              <w:right w:val="single" w:sz="8" w:space="0" w:color="auto"/>
            </w:tcBorders>
            <w:noWrap/>
          </w:tcPr>
          <w:p w:rsidR="002D5A7B" w:rsidRPr="00CF6B4E" w:rsidRDefault="00CF6B4E" w:rsidP="00933401">
            <w:pPr>
              <w:spacing w:after="0"/>
              <w:jc w:val="right"/>
              <w:rPr>
                <w:rFonts w:ascii="Times New Roman" w:eastAsia="Times New Roman" w:hAnsi="Times New Roman" w:cs="Times New Roman"/>
                <w:sz w:val="24"/>
                <w:szCs w:val="24"/>
                <w:lang w:eastAsia="tr-TR"/>
              </w:rPr>
            </w:pPr>
            <w:r w:rsidRPr="00CF6B4E">
              <w:rPr>
                <w:rFonts w:ascii="Times New Roman" w:eastAsia="Times New Roman" w:hAnsi="Times New Roman" w:cs="Times New Roman"/>
                <w:sz w:val="24"/>
                <w:szCs w:val="24"/>
                <w:lang w:eastAsia="tr-TR"/>
              </w:rPr>
              <w:t>28,0</w:t>
            </w:r>
          </w:p>
        </w:tc>
        <w:tc>
          <w:tcPr>
            <w:tcW w:w="1204" w:type="dxa"/>
            <w:tcBorders>
              <w:top w:val="single" w:sz="8" w:space="0" w:color="auto"/>
              <w:left w:val="single" w:sz="8" w:space="0" w:color="auto"/>
              <w:bottom w:val="single" w:sz="8" w:space="0" w:color="auto"/>
              <w:right w:val="single" w:sz="8" w:space="0" w:color="auto"/>
            </w:tcBorders>
            <w:noWrap/>
          </w:tcPr>
          <w:p w:rsidR="002D5A7B" w:rsidRPr="00CF6B4E" w:rsidRDefault="00CF6B4E" w:rsidP="00933401">
            <w:pPr>
              <w:spacing w:after="0"/>
              <w:jc w:val="right"/>
              <w:rPr>
                <w:rFonts w:ascii="Times New Roman" w:eastAsia="Times New Roman" w:hAnsi="Times New Roman" w:cs="Times New Roman"/>
                <w:sz w:val="24"/>
                <w:szCs w:val="24"/>
                <w:lang w:eastAsia="tr-TR"/>
              </w:rPr>
            </w:pPr>
            <w:r w:rsidRPr="00CF6B4E">
              <w:rPr>
                <w:rFonts w:ascii="Times New Roman" w:eastAsia="Times New Roman" w:hAnsi="Times New Roman" w:cs="Times New Roman"/>
                <w:sz w:val="24"/>
                <w:szCs w:val="24"/>
                <w:lang w:eastAsia="tr-TR"/>
              </w:rPr>
              <w:t>27,5</w:t>
            </w:r>
          </w:p>
        </w:tc>
      </w:tr>
    </w:tbl>
    <w:p w:rsidR="002D5A7B" w:rsidRDefault="002D5A7B" w:rsidP="00933401">
      <w:pPr>
        <w:tabs>
          <w:tab w:val="left" w:pos="567"/>
        </w:tabs>
        <w:spacing w:before="240" w:after="120"/>
        <w:ind w:firstLine="567"/>
        <w:jc w:val="both"/>
        <w:rPr>
          <w:rFonts w:ascii="Times New Roman" w:eastAsia="Times New Roman" w:hAnsi="Times New Roman" w:cs="Times New Roman"/>
          <w:sz w:val="24"/>
          <w:szCs w:val="24"/>
          <w:lang w:eastAsia="tr-TR"/>
        </w:rPr>
      </w:pPr>
      <w:r w:rsidRPr="00CF6B4E">
        <w:rPr>
          <w:rFonts w:ascii="Times New Roman" w:eastAsia="Times New Roman" w:hAnsi="Times New Roman" w:cs="Times New Roman"/>
          <w:sz w:val="24"/>
          <w:szCs w:val="24"/>
          <w:lang w:eastAsia="tr-TR"/>
        </w:rPr>
        <w:t>AB tanımlı genel yönetim</w:t>
      </w:r>
      <w:r w:rsidR="000E4296" w:rsidRPr="00CF6B4E">
        <w:rPr>
          <w:rFonts w:ascii="Times New Roman" w:eastAsia="Times New Roman" w:hAnsi="Times New Roman" w:cs="Times New Roman"/>
          <w:sz w:val="24"/>
          <w:szCs w:val="24"/>
          <w:lang w:eastAsia="tr-TR"/>
        </w:rPr>
        <w:t xml:space="preserve"> borç stokunun GSYH’ye oranının </w:t>
      </w:r>
      <w:r w:rsidR="007B7CBC" w:rsidRPr="00CF6B4E">
        <w:rPr>
          <w:rFonts w:ascii="Times New Roman" w:eastAsia="Times New Roman" w:hAnsi="Times New Roman" w:cs="Times New Roman"/>
          <w:sz w:val="24"/>
          <w:szCs w:val="24"/>
          <w:lang w:eastAsia="tr-TR"/>
        </w:rPr>
        <w:t>20</w:t>
      </w:r>
      <w:r w:rsidR="00CD77AF" w:rsidRPr="00CF6B4E">
        <w:rPr>
          <w:rFonts w:ascii="Times New Roman" w:eastAsia="Times New Roman" w:hAnsi="Times New Roman" w:cs="Times New Roman"/>
          <w:sz w:val="24"/>
          <w:szCs w:val="24"/>
          <w:lang w:eastAsia="tr-TR"/>
        </w:rPr>
        <w:t>20</w:t>
      </w:r>
      <w:r w:rsidR="007B7CBC" w:rsidRPr="00CF6B4E">
        <w:rPr>
          <w:rFonts w:ascii="Times New Roman" w:eastAsia="Times New Roman" w:hAnsi="Times New Roman" w:cs="Times New Roman"/>
          <w:sz w:val="24"/>
          <w:szCs w:val="24"/>
          <w:lang w:eastAsia="tr-TR"/>
        </w:rPr>
        <w:t xml:space="preserve"> </w:t>
      </w:r>
      <w:r w:rsidRPr="00CF6B4E">
        <w:rPr>
          <w:rFonts w:ascii="Times New Roman" w:eastAsia="Times New Roman" w:hAnsi="Times New Roman" w:cs="Times New Roman"/>
          <w:sz w:val="24"/>
          <w:szCs w:val="24"/>
          <w:lang w:eastAsia="tr-TR"/>
        </w:rPr>
        <w:t xml:space="preserve">yılı </w:t>
      </w:r>
      <w:r w:rsidR="007B7CBC" w:rsidRPr="00CF6B4E">
        <w:rPr>
          <w:rFonts w:ascii="Times New Roman" w:eastAsia="Times New Roman" w:hAnsi="Times New Roman" w:cs="Times New Roman"/>
          <w:sz w:val="24"/>
          <w:szCs w:val="24"/>
          <w:lang w:eastAsia="tr-TR"/>
        </w:rPr>
        <w:t xml:space="preserve">sonunda </w:t>
      </w:r>
      <w:r w:rsidRPr="00CF6B4E">
        <w:rPr>
          <w:rFonts w:ascii="Times New Roman" w:eastAsia="Times New Roman" w:hAnsi="Times New Roman" w:cs="Times New Roman"/>
          <w:sz w:val="24"/>
          <w:szCs w:val="24"/>
          <w:lang w:eastAsia="tr-TR"/>
        </w:rPr>
        <w:t xml:space="preserve">yüzde </w:t>
      </w:r>
      <w:r w:rsidR="00CF6B4E" w:rsidRPr="00CF6B4E">
        <w:rPr>
          <w:rFonts w:ascii="Times New Roman" w:eastAsia="Times New Roman" w:hAnsi="Times New Roman" w:cs="Times New Roman"/>
          <w:sz w:val="24"/>
          <w:szCs w:val="24"/>
          <w:lang w:eastAsia="tr-TR"/>
        </w:rPr>
        <w:t>27,5</w:t>
      </w:r>
      <w:r w:rsidRPr="00CF6B4E">
        <w:rPr>
          <w:rFonts w:ascii="Times New Roman" w:eastAsia="Times New Roman" w:hAnsi="Times New Roman" w:cs="Times New Roman"/>
          <w:sz w:val="24"/>
          <w:szCs w:val="24"/>
          <w:lang w:eastAsia="tr-TR"/>
        </w:rPr>
        <w:t xml:space="preserve"> </w:t>
      </w:r>
      <w:r w:rsidR="00CF6B4E">
        <w:rPr>
          <w:rFonts w:ascii="Times New Roman" w:eastAsia="Times New Roman" w:hAnsi="Times New Roman" w:cs="Times New Roman"/>
          <w:sz w:val="24"/>
          <w:szCs w:val="24"/>
          <w:lang w:eastAsia="tr-TR"/>
        </w:rPr>
        <w:t>s</w:t>
      </w:r>
      <w:r w:rsidRPr="00CF6B4E">
        <w:rPr>
          <w:rFonts w:ascii="Times New Roman" w:eastAsia="Times New Roman" w:hAnsi="Times New Roman" w:cs="Times New Roman"/>
          <w:sz w:val="24"/>
          <w:szCs w:val="24"/>
          <w:lang w:eastAsia="tr-TR"/>
        </w:rPr>
        <w:t>eviyesine düşürülmesi hedeflenmektedir.</w:t>
      </w:r>
    </w:p>
    <w:p w:rsidR="002D5A7B" w:rsidRPr="00932F51" w:rsidRDefault="00CC6AC3" w:rsidP="00933401">
      <w:pPr>
        <w:spacing w:after="120"/>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w:t>
      </w:r>
      <w:r w:rsidR="002D5A7B" w:rsidRPr="00932F51">
        <w:rPr>
          <w:rFonts w:ascii="Times New Roman" w:eastAsia="Times New Roman" w:hAnsi="Times New Roman" w:cs="Times New Roman"/>
          <w:b/>
          <w:sz w:val="24"/>
          <w:szCs w:val="24"/>
          <w:lang w:eastAsia="tr-TR"/>
        </w:rPr>
        <w:t xml:space="preserve">V. KURUMSAL ÖDENEK TEKLİF TAVANLARI VE BÜTÇE SÜRECİNE İLİŞKİN HUSUSLAR </w:t>
      </w:r>
    </w:p>
    <w:p w:rsidR="002D5A7B" w:rsidRPr="00932F51" w:rsidRDefault="002D5A7B" w:rsidP="00B26F10">
      <w:pPr>
        <w:spacing w:after="120"/>
        <w:ind w:left="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Kurumsal Ödenek Teklif Tavanları</w:t>
      </w:r>
    </w:p>
    <w:p w:rsidR="002D5A7B" w:rsidRPr="00B47FA8" w:rsidRDefault="003F7DA1" w:rsidP="00933401">
      <w:pPr>
        <w:tabs>
          <w:tab w:val="left" w:pos="900"/>
        </w:tabs>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D61DB7">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 xml:space="preserve">. </w:t>
      </w:r>
      <w:r w:rsidR="002D5A7B" w:rsidRPr="00B47FA8">
        <w:rPr>
          <w:rFonts w:ascii="Times New Roman" w:eastAsia="Times New Roman" w:hAnsi="Times New Roman" w:cs="Times New Roman"/>
          <w:sz w:val="24"/>
          <w:szCs w:val="24"/>
          <w:lang w:eastAsia="tr-TR"/>
        </w:rPr>
        <w:t xml:space="preserve">5018 sayılı Kanunun 16 </w:t>
      </w:r>
      <w:proofErr w:type="spellStart"/>
      <w:r w:rsidR="002D5A7B" w:rsidRPr="00B47FA8">
        <w:rPr>
          <w:rFonts w:ascii="Times New Roman" w:eastAsia="Times New Roman" w:hAnsi="Times New Roman" w:cs="Times New Roman"/>
          <w:sz w:val="24"/>
          <w:szCs w:val="24"/>
          <w:lang w:eastAsia="tr-TR"/>
        </w:rPr>
        <w:t>ncı</w:t>
      </w:r>
      <w:proofErr w:type="spellEnd"/>
      <w:r w:rsidR="002D5A7B" w:rsidRPr="00B47FA8">
        <w:rPr>
          <w:rFonts w:ascii="Times New Roman" w:eastAsia="Times New Roman" w:hAnsi="Times New Roman" w:cs="Times New Roman"/>
          <w:sz w:val="24"/>
          <w:szCs w:val="24"/>
          <w:lang w:eastAsia="tr-TR"/>
        </w:rPr>
        <w:t xml:space="preserve"> maddesi gereğince, söz konusu Kanuna ekli (I) ve (II) sayılı cetvellerde yer alan genel bütçe kapsamındaki kamu idareleri ve özel bütçeli idarelerin 201</w:t>
      </w:r>
      <w:r w:rsidR="00343066" w:rsidRPr="00B47FA8">
        <w:rPr>
          <w:rFonts w:ascii="Times New Roman" w:eastAsia="Times New Roman" w:hAnsi="Times New Roman" w:cs="Times New Roman"/>
          <w:sz w:val="24"/>
          <w:szCs w:val="24"/>
          <w:lang w:eastAsia="tr-TR"/>
        </w:rPr>
        <w:t>8</w:t>
      </w:r>
      <w:r w:rsidR="002D5A7B" w:rsidRPr="00B47FA8">
        <w:rPr>
          <w:rFonts w:ascii="Times New Roman" w:eastAsia="Times New Roman" w:hAnsi="Times New Roman" w:cs="Times New Roman"/>
          <w:sz w:val="24"/>
          <w:szCs w:val="24"/>
          <w:lang w:eastAsia="tr-TR"/>
        </w:rPr>
        <w:t>, 201</w:t>
      </w:r>
      <w:r w:rsidR="00343066" w:rsidRPr="00B47FA8">
        <w:rPr>
          <w:rFonts w:ascii="Times New Roman" w:eastAsia="Times New Roman" w:hAnsi="Times New Roman" w:cs="Times New Roman"/>
          <w:sz w:val="24"/>
          <w:szCs w:val="24"/>
          <w:lang w:eastAsia="tr-TR"/>
        </w:rPr>
        <w:t>9</w:t>
      </w:r>
      <w:r w:rsidR="002D5A7B" w:rsidRPr="00B47FA8">
        <w:rPr>
          <w:rFonts w:ascii="Times New Roman" w:eastAsia="Times New Roman" w:hAnsi="Times New Roman" w:cs="Times New Roman"/>
          <w:sz w:val="24"/>
          <w:szCs w:val="24"/>
          <w:lang w:eastAsia="tr-TR"/>
        </w:rPr>
        <w:t xml:space="preserve"> ve 20</w:t>
      </w:r>
      <w:r w:rsidR="00343066" w:rsidRPr="00B47FA8">
        <w:rPr>
          <w:rFonts w:ascii="Times New Roman" w:eastAsia="Times New Roman" w:hAnsi="Times New Roman" w:cs="Times New Roman"/>
          <w:sz w:val="24"/>
          <w:szCs w:val="24"/>
          <w:lang w:eastAsia="tr-TR"/>
        </w:rPr>
        <w:t>20</w:t>
      </w:r>
      <w:r w:rsidR="002D5A7B" w:rsidRPr="00B47FA8">
        <w:rPr>
          <w:rFonts w:ascii="Times New Roman" w:eastAsia="Times New Roman" w:hAnsi="Times New Roman" w:cs="Times New Roman"/>
          <w:sz w:val="24"/>
          <w:szCs w:val="24"/>
          <w:lang w:eastAsia="tr-TR"/>
        </w:rPr>
        <w:t xml:space="preserve"> yıllarına ilişkin ödenek teklif tavanları ekli tablolarda yer almaktadır. </w:t>
      </w:r>
    </w:p>
    <w:p w:rsidR="002D5A7B" w:rsidRDefault="003F7DA1"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D61DB7">
        <w:rPr>
          <w:rFonts w:ascii="Times New Roman" w:eastAsia="Times New Roman" w:hAnsi="Times New Roman" w:cs="Times New Roman"/>
          <w:sz w:val="24"/>
          <w:szCs w:val="24"/>
          <w:lang w:eastAsia="tr-TR"/>
        </w:rPr>
        <w:t>7</w:t>
      </w:r>
      <w:r>
        <w:rPr>
          <w:rFonts w:ascii="Times New Roman" w:eastAsia="Times New Roman" w:hAnsi="Times New Roman" w:cs="Times New Roman"/>
          <w:sz w:val="24"/>
          <w:szCs w:val="24"/>
          <w:lang w:eastAsia="tr-TR"/>
        </w:rPr>
        <w:t xml:space="preserve">. </w:t>
      </w:r>
      <w:r w:rsidR="002D5A7B" w:rsidRPr="00B47FA8">
        <w:rPr>
          <w:rFonts w:ascii="Times New Roman" w:eastAsia="Times New Roman" w:hAnsi="Times New Roman" w:cs="Times New Roman"/>
          <w:sz w:val="24"/>
          <w:szCs w:val="24"/>
          <w:lang w:eastAsia="tr-TR"/>
        </w:rPr>
        <w:t>Kamu idarelerinin ödenek teklif tavanları belirlenirken, makroekonomik göstergeler ile Orta Vadeli Programda belirlenen politika öncelikleri, kamu idarelerinin ihtiyaçları ve yürüttükleri önemli faaliyet ve projeler dikkate alınmıştır.</w:t>
      </w:r>
    </w:p>
    <w:p w:rsidR="002D5A7B" w:rsidRPr="00932F51" w:rsidRDefault="002D5A7B" w:rsidP="00B26F10">
      <w:pPr>
        <w:spacing w:after="120"/>
        <w:ind w:left="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lastRenderedPageBreak/>
        <w:t>Bütçe Sürecine İlişkin Hususlar</w:t>
      </w:r>
    </w:p>
    <w:p w:rsidR="002D5A7B" w:rsidRPr="00EF6087" w:rsidRDefault="003F7DA1" w:rsidP="00933401">
      <w:pPr>
        <w:spacing w:after="120"/>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6</w:t>
      </w:r>
      <w:r w:rsidR="00D61DB7">
        <w:rPr>
          <w:rFonts w:ascii="Times New Roman" w:eastAsia="Times New Roman" w:hAnsi="Times New Roman" w:cs="Times New Roman"/>
          <w:sz w:val="24"/>
          <w:szCs w:val="24"/>
          <w:lang w:eastAsia="tr-TR"/>
        </w:rPr>
        <w:t>8</w:t>
      </w:r>
      <w:r>
        <w:rPr>
          <w:rFonts w:ascii="Times New Roman" w:eastAsia="Times New Roman" w:hAnsi="Times New Roman" w:cs="Times New Roman"/>
          <w:sz w:val="24"/>
          <w:szCs w:val="24"/>
          <w:lang w:eastAsia="tr-TR"/>
        </w:rPr>
        <w:t xml:space="preserve">. </w:t>
      </w:r>
      <w:r w:rsidR="002D5A7B" w:rsidRPr="00EF6087">
        <w:rPr>
          <w:rFonts w:ascii="Times New Roman" w:eastAsia="Times New Roman" w:hAnsi="Times New Roman" w:cs="Times New Roman"/>
          <w:sz w:val="24"/>
          <w:szCs w:val="24"/>
          <w:lang w:eastAsia="tr-TR"/>
        </w:rPr>
        <w:t>201</w:t>
      </w:r>
      <w:r w:rsidR="00343066" w:rsidRPr="00EF6087">
        <w:rPr>
          <w:rFonts w:ascii="Times New Roman" w:eastAsia="Times New Roman" w:hAnsi="Times New Roman" w:cs="Times New Roman"/>
          <w:sz w:val="24"/>
          <w:szCs w:val="24"/>
          <w:lang w:eastAsia="tr-TR"/>
        </w:rPr>
        <w:t>8</w:t>
      </w:r>
      <w:r w:rsidR="002D5A7B" w:rsidRPr="00EF6087">
        <w:rPr>
          <w:rFonts w:ascii="Times New Roman" w:eastAsia="Times New Roman" w:hAnsi="Times New Roman" w:cs="Times New Roman"/>
          <w:sz w:val="24"/>
          <w:szCs w:val="24"/>
          <w:lang w:eastAsia="tr-TR"/>
        </w:rPr>
        <w:t>, 201</w:t>
      </w:r>
      <w:r w:rsidR="00343066" w:rsidRPr="00EF6087">
        <w:rPr>
          <w:rFonts w:ascii="Times New Roman" w:eastAsia="Times New Roman" w:hAnsi="Times New Roman" w:cs="Times New Roman"/>
          <w:sz w:val="24"/>
          <w:szCs w:val="24"/>
          <w:lang w:eastAsia="tr-TR"/>
        </w:rPr>
        <w:t>9</w:t>
      </w:r>
      <w:r w:rsidR="002D5A7B" w:rsidRPr="00EF6087">
        <w:rPr>
          <w:rFonts w:ascii="Times New Roman" w:eastAsia="Times New Roman" w:hAnsi="Times New Roman" w:cs="Times New Roman"/>
          <w:sz w:val="24"/>
          <w:szCs w:val="24"/>
          <w:lang w:eastAsia="tr-TR"/>
        </w:rPr>
        <w:t xml:space="preserve"> ve 20</w:t>
      </w:r>
      <w:r w:rsidR="00343066" w:rsidRPr="00EF6087">
        <w:rPr>
          <w:rFonts w:ascii="Times New Roman" w:eastAsia="Times New Roman" w:hAnsi="Times New Roman" w:cs="Times New Roman"/>
          <w:sz w:val="24"/>
          <w:szCs w:val="24"/>
          <w:lang w:eastAsia="tr-TR"/>
        </w:rPr>
        <w:t>20</w:t>
      </w:r>
      <w:r w:rsidR="002D5A7B" w:rsidRPr="00EF6087">
        <w:rPr>
          <w:rFonts w:ascii="Times New Roman" w:eastAsia="Times New Roman" w:hAnsi="Times New Roman" w:cs="Times New Roman"/>
          <w:sz w:val="24"/>
          <w:szCs w:val="24"/>
          <w:lang w:eastAsia="tr-TR"/>
        </w:rPr>
        <w:t xml:space="preserve"> </w:t>
      </w:r>
      <w:r w:rsidR="002D5A7B" w:rsidRPr="00EF6087">
        <w:rPr>
          <w:rFonts w:ascii="Times New Roman" w:eastAsia="Times New Roman" w:hAnsi="Times New Roman" w:cs="Times New Roman"/>
          <w:bCs/>
          <w:sz w:val="24"/>
          <w:szCs w:val="24"/>
          <w:lang w:eastAsia="tr-TR"/>
        </w:rPr>
        <w:t xml:space="preserve">yılları bütçe teklifleri 5018 sayılı Kanunun 15, 16, 17 ve 18 inci maddelerine uygun olarak çok yıllı bütçeleme anlayışı ile uyumlu bir şekilde hazırlanacaktır. </w:t>
      </w:r>
    </w:p>
    <w:p w:rsidR="002D5A7B" w:rsidRPr="00EF6087" w:rsidRDefault="003F7DA1"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D61DB7">
        <w:rPr>
          <w:rFonts w:ascii="Times New Roman" w:eastAsia="Times New Roman" w:hAnsi="Times New Roman" w:cs="Times New Roman"/>
          <w:sz w:val="24"/>
          <w:szCs w:val="24"/>
          <w:lang w:eastAsia="tr-TR"/>
        </w:rPr>
        <w:t>9</w:t>
      </w:r>
      <w:r>
        <w:rPr>
          <w:rFonts w:ascii="Times New Roman" w:eastAsia="Times New Roman" w:hAnsi="Times New Roman" w:cs="Times New Roman"/>
          <w:sz w:val="24"/>
          <w:szCs w:val="24"/>
          <w:lang w:eastAsia="tr-TR"/>
        </w:rPr>
        <w:t xml:space="preserve">. </w:t>
      </w:r>
      <w:r w:rsidR="002D5A7B" w:rsidRPr="00EF6087">
        <w:rPr>
          <w:rFonts w:ascii="Times New Roman" w:eastAsia="Times New Roman" w:hAnsi="Times New Roman" w:cs="Times New Roman"/>
          <w:sz w:val="24"/>
          <w:szCs w:val="24"/>
          <w:lang w:eastAsia="tr-TR"/>
        </w:rPr>
        <w:t>Çok yıllı bütçelemenin başarılı bir şekilde sürdürülmesi, bütçe uygulamalarında kamu idareleri arasında gerekli işbirliği ve eşgüdümün sağlıklı bir şekilde yürütülmesine bağlı bulunmaktadır. Bütün kamu idareleri, önceki dönemlerde olduğu gibi 201</w:t>
      </w:r>
      <w:r w:rsidR="00343066" w:rsidRPr="00EF6087">
        <w:rPr>
          <w:rFonts w:ascii="Times New Roman" w:eastAsia="Times New Roman" w:hAnsi="Times New Roman" w:cs="Times New Roman"/>
          <w:sz w:val="24"/>
          <w:szCs w:val="24"/>
          <w:lang w:eastAsia="tr-TR"/>
        </w:rPr>
        <w:t>8</w:t>
      </w:r>
      <w:r w:rsidR="002D5A7B" w:rsidRPr="00EF6087">
        <w:rPr>
          <w:rFonts w:ascii="Times New Roman" w:eastAsia="Times New Roman" w:hAnsi="Times New Roman" w:cs="Times New Roman"/>
          <w:sz w:val="24"/>
          <w:szCs w:val="24"/>
          <w:lang w:eastAsia="tr-TR"/>
        </w:rPr>
        <w:t>-20</w:t>
      </w:r>
      <w:r w:rsidR="00343066" w:rsidRPr="00EF6087">
        <w:rPr>
          <w:rFonts w:ascii="Times New Roman" w:eastAsia="Times New Roman" w:hAnsi="Times New Roman" w:cs="Times New Roman"/>
          <w:sz w:val="24"/>
          <w:szCs w:val="24"/>
          <w:lang w:eastAsia="tr-TR"/>
        </w:rPr>
        <w:t>20</w:t>
      </w:r>
      <w:r w:rsidR="002D5A7B" w:rsidRPr="00EF6087">
        <w:rPr>
          <w:rFonts w:ascii="Times New Roman" w:eastAsia="Times New Roman" w:hAnsi="Times New Roman" w:cs="Times New Roman"/>
          <w:sz w:val="24"/>
          <w:szCs w:val="24"/>
          <w:lang w:eastAsia="tr-TR"/>
        </w:rPr>
        <w:t xml:space="preserve"> yıllarını kapsayan çok yıllı bütçe döneminde de aynı anlayışla hareket edeceklerdir. </w:t>
      </w:r>
    </w:p>
    <w:p w:rsidR="002D5A7B" w:rsidRDefault="00D61DB7" w:rsidP="00933401">
      <w:pPr>
        <w:spacing w:after="120"/>
        <w:ind w:firstLine="567"/>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70</w:t>
      </w:r>
      <w:r w:rsidR="003F7DA1">
        <w:rPr>
          <w:rFonts w:ascii="Times New Roman" w:eastAsia="Times New Roman" w:hAnsi="Times New Roman" w:cs="Times New Roman"/>
          <w:sz w:val="24"/>
          <w:szCs w:val="24"/>
          <w:lang w:eastAsia="tr-TR"/>
        </w:rPr>
        <w:t xml:space="preserve">. </w:t>
      </w:r>
      <w:r w:rsidR="002D5A7B" w:rsidRPr="00EF6087">
        <w:rPr>
          <w:rFonts w:ascii="Times New Roman" w:eastAsia="Times New Roman" w:hAnsi="Times New Roman" w:cs="Times New Roman"/>
          <w:sz w:val="24"/>
          <w:szCs w:val="24"/>
          <w:lang w:eastAsia="tr-TR"/>
        </w:rPr>
        <w:t>Genel bütçe kapsamındaki kamu idareleri ile özel bütçeli idareler, Bütçe Çağrısı ve eki Bütçe Hazırlama Rehberi ile Yatırım Genelgesi ve eki Yatırım Programı Hazırlama Rehberindeki esas ve usuller çerçevesinde 201</w:t>
      </w:r>
      <w:r w:rsidR="00343066" w:rsidRPr="00EF6087">
        <w:rPr>
          <w:rFonts w:ascii="Times New Roman" w:eastAsia="Times New Roman" w:hAnsi="Times New Roman" w:cs="Times New Roman"/>
          <w:sz w:val="24"/>
          <w:szCs w:val="24"/>
          <w:lang w:eastAsia="tr-TR"/>
        </w:rPr>
        <w:t>8</w:t>
      </w:r>
      <w:r w:rsidR="002D5A7B" w:rsidRPr="00EF6087">
        <w:rPr>
          <w:rFonts w:ascii="Times New Roman" w:eastAsia="Times New Roman" w:hAnsi="Times New Roman" w:cs="Times New Roman"/>
          <w:sz w:val="24"/>
          <w:szCs w:val="24"/>
          <w:lang w:eastAsia="tr-TR"/>
        </w:rPr>
        <w:t>, 201</w:t>
      </w:r>
      <w:r w:rsidR="00343066" w:rsidRPr="00EF6087">
        <w:rPr>
          <w:rFonts w:ascii="Times New Roman" w:eastAsia="Times New Roman" w:hAnsi="Times New Roman" w:cs="Times New Roman"/>
          <w:sz w:val="24"/>
          <w:szCs w:val="24"/>
          <w:lang w:eastAsia="tr-TR"/>
        </w:rPr>
        <w:t>9</w:t>
      </w:r>
      <w:r w:rsidR="002D5A7B" w:rsidRPr="00EF6087">
        <w:rPr>
          <w:rFonts w:ascii="Times New Roman" w:eastAsia="Times New Roman" w:hAnsi="Times New Roman" w:cs="Times New Roman"/>
          <w:sz w:val="24"/>
          <w:szCs w:val="24"/>
          <w:lang w:eastAsia="tr-TR"/>
        </w:rPr>
        <w:t xml:space="preserve"> ve 20</w:t>
      </w:r>
      <w:r w:rsidR="00343066" w:rsidRPr="00EF6087">
        <w:rPr>
          <w:rFonts w:ascii="Times New Roman" w:eastAsia="Times New Roman" w:hAnsi="Times New Roman" w:cs="Times New Roman"/>
          <w:sz w:val="24"/>
          <w:szCs w:val="24"/>
          <w:lang w:eastAsia="tr-TR"/>
        </w:rPr>
        <w:t>20</w:t>
      </w:r>
      <w:r w:rsidR="002D5A7B" w:rsidRPr="00EF6087">
        <w:rPr>
          <w:rFonts w:ascii="Times New Roman" w:eastAsia="Times New Roman" w:hAnsi="Times New Roman" w:cs="Times New Roman"/>
          <w:sz w:val="24"/>
          <w:szCs w:val="24"/>
          <w:lang w:eastAsia="tr-TR"/>
        </w:rPr>
        <w:t xml:space="preserve"> yıllarına ilişkin </w:t>
      </w:r>
      <w:r w:rsidR="002D5A7B" w:rsidRPr="00932F51">
        <w:rPr>
          <w:rFonts w:ascii="Times New Roman" w:eastAsia="Times New Roman" w:hAnsi="Times New Roman" w:cs="Times New Roman"/>
          <w:sz w:val="24"/>
          <w:szCs w:val="24"/>
          <w:lang w:eastAsia="tr-TR"/>
        </w:rPr>
        <w:t xml:space="preserve">bütçe tekliflerini hazırlayacaklar ve </w:t>
      </w:r>
      <w:r w:rsidR="00AA2C43" w:rsidRPr="006731CB">
        <w:rPr>
          <w:rFonts w:ascii="Times New Roman" w:eastAsia="Times New Roman" w:hAnsi="Times New Roman" w:cs="Times New Roman"/>
          <w:sz w:val="24"/>
          <w:szCs w:val="24"/>
          <w:lang w:eastAsia="tr-TR"/>
        </w:rPr>
        <w:t xml:space="preserve">10 Ekim </w:t>
      </w:r>
      <w:r w:rsidR="00260265" w:rsidRPr="006731CB">
        <w:rPr>
          <w:rFonts w:ascii="Times New Roman" w:eastAsia="Times New Roman" w:hAnsi="Times New Roman" w:cs="Times New Roman"/>
          <w:sz w:val="24"/>
          <w:szCs w:val="24"/>
          <w:lang w:eastAsia="tr-TR"/>
        </w:rPr>
        <w:t>201</w:t>
      </w:r>
      <w:r w:rsidR="007E2697" w:rsidRPr="006731CB">
        <w:rPr>
          <w:rFonts w:ascii="Times New Roman" w:eastAsia="Times New Roman" w:hAnsi="Times New Roman" w:cs="Times New Roman"/>
          <w:sz w:val="24"/>
          <w:szCs w:val="24"/>
          <w:lang w:eastAsia="tr-TR"/>
        </w:rPr>
        <w:t>7</w:t>
      </w:r>
      <w:r w:rsidR="00260265" w:rsidRPr="006731CB">
        <w:rPr>
          <w:rFonts w:ascii="Times New Roman" w:eastAsia="Times New Roman" w:hAnsi="Times New Roman" w:cs="Times New Roman"/>
          <w:sz w:val="24"/>
          <w:szCs w:val="24"/>
          <w:lang w:eastAsia="tr-TR"/>
        </w:rPr>
        <w:t xml:space="preserve"> </w:t>
      </w:r>
      <w:r w:rsidR="002D5A7B" w:rsidRPr="006731CB">
        <w:rPr>
          <w:rFonts w:ascii="Times New Roman" w:eastAsia="Times New Roman" w:hAnsi="Times New Roman" w:cs="Times New Roman"/>
          <w:sz w:val="24"/>
          <w:szCs w:val="24"/>
          <w:lang w:eastAsia="tr-TR"/>
        </w:rPr>
        <w:t>tarihine</w:t>
      </w:r>
      <w:r w:rsidR="002D5A7B" w:rsidRPr="00932F51">
        <w:rPr>
          <w:rFonts w:ascii="Times New Roman" w:eastAsia="Times New Roman" w:hAnsi="Times New Roman" w:cs="Times New Roman"/>
          <w:sz w:val="24"/>
          <w:szCs w:val="24"/>
          <w:lang w:eastAsia="tr-TR"/>
        </w:rPr>
        <w:t xml:space="preserve"> kadar kesinleşen bütçe tasarılarını Maliye Bakanlığına (Bütçe ve Mali Kontrol Genel Müdürlüğüne) </w:t>
      </w:r>
      <w:r w:rsidR="00260265" w:rsidRPr="00932F51">
        <w:rPr>
          <w:rFonts w:ascii="Times New Roman" w:eastAsia="Times New Roman" w:hAnsi="Times New Roman" w:cs="Times New Roman"/>
          <w:sz w:val="24"/>
          <w:szCs w:val="24"/>
          <w:lang w:eastAsia="tr-TR"/>
        </w:rPr>
        <w:t xml:space="preserve">teslim edeceklerdir. </w:t>
      </w:r>
      <w:proofErr w:type="gramEnd"/>
    </w:p>
    <w:sectPr w:rsidR="002D5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DE2"/>
    <w:multiLevelType w:val="hybridMultilevel"/>
    <w:tmpl w:val="76D446A4"/>
    <w:lvl w:ilvl="0" w:tplc="A0A08128">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51949FA"/>
    <w:multiLevelType w:val="hybridMultilevel"/>
    <w:tmpl w:val="E6E0D742"/>
    <w:lvl w:ilvl="0" w:tplc="940E6BC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BD2198"/>
    <w:multiLevelType w:val="hybridMultilevel"/>
    <w:tmpl w:val="46327AC4"/>
    <w:lvl w:ilvl="0" w:tplc="6DCEFB1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0217F0B"/>
    <w:multiLevelType w:val="hybridMultilevel"/>
    <w:tmpl w:val="5A4A3B22"/>
    <w:lvl w:ilvl="0" w:tplc="F15CDCC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1A35A34"/>
    <w:multiLevelType w:val="hybridMultilevel"/>
    <w:tmpl w:val="80EA0298"/>
    <w:lvl w:ilvl="0" w:tplc="47FAB63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99C1B5A"/>
    <w:multiLevelType w:val="hybridMultilevel"/>
    <w:tmpl w:val="D97625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4D62A1"/>
    <w:multiLevelType w:val="hybridMultilevel"/>
    <w:tmpl w:val="AB10397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7">
    <w:nsid w:val="23714C37"/>
    <w:multiLevelType w:val="hybridMultilevel"/>
    <w:tmpl w:val="6302D8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385D32"/>
    <w:multiLevelType w:val="hybridMultilevel"/>
    <w:tmpl w:val="35985F34"/>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nsid w:val="37980A5F"/>
    <w:multiLevelType w:val="hybridMultilevel"/>
    <w:tmpl w:val="3B941108"/>
    <w:lvl w:ilvl="0" w:tplc="491C19C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8757AC"/>
    <w:multiLevelType w:val="hybridMultilevel"/>
    <w:tmpl w:val="AD6EF938"/>
    <w:lvl w:ilvl="0" w:tplc="9FA0381A">
      <w:start w:val="1"/>
      <w:numFmt w:val="upperRoman"/>
      <w:lvlText w:val="%1."/>
      <w:lvlJc w:val="left"/>
      <w:pPr>
        <w:ind w:left="4406" w:hanging="720"/>
      </w:pPr>
      <w:rPr>
        <w:rFonts w:hint="default"/>
      </w:rPr>
    </w:lvl>
    <w:lvl w:ilvl="1" w:tplc="041F0019" w:tentative="1">
      <w:start w:val="1"/>
      <w:numFmt w:val="lowerLetter"/>
      <w:lvlText w:val="%2."/>
      <w:lvlJc w:val="left"/>
      <w:pPr>
        <w:ind w:left="4766" w:hanging="360"/>
      </w:pPr>
    </w:lvl>
    <w:lvl w:ilvl="2" w:tplc="041F001B" w:tentative="1">
      <w:start w:val="1"/>
      <w:numFmt w:val="lowerRoman"/>
      <w:lvlText w:val="%3."/>
      <w:lvlJc w:val="right"/>
      <w:pPr>
        <w:ind w:left="5486" w:hanging="180"/>
      </w:pPr>
    </w:lvl>
    <w:lvl w:ilvl="3" w:tplc="041F000F" w:tentative="1">
      <w:start w:val="1"/>
      <w:numFmt w:val="decimal"/>
      <w:lvlText w:val="%4."/>
      <w:lvlJc w:val="left"/>
      <w:pPr>
        <w:ind w:left="6206" w:hanging="360"/>
      </w:pPr>
    </w:lvl>
    <w:lvl w:ilvl="4" w:tplc="041F0019" w:tentative="1">
      <w:start w:val="1"/>
      <w:numFmt w:val="lowerLetter"/>
      <w:lvlText w:val="%5."/>
      <w:lvlJc w:val="left"/>
      <w:pPr>
        <w:ind w:left="6926" w:hanging="360"/>
      </w:pPr>
    </w:lvl>
    <w:lvl w:ilvl="5" w:tplc="041F001B" w:tentative="1">
      <w:start w:val="1"/>
      <w:numFmt w:val="lowerRoman"/>
      <w:lvlText w:val="%6."/>
      <w:lvlJc w:val="right"/>
      <w:pPr>
        <w:ind w:left="7646" w:hanging="180"/>
      </w:pPr>
    </w:lvl>
    <w:lvl w:ilvl="6" w:tplc="041F000F" w:tentative="1">
      <w:start w:val="1"/>
      <w:numFmt w:val="decimal"/>
      <w:lvlText w:val="%7."/>
      <w:lvlJc w:val="left"/>
      <w:pPr>
        <w:ind w:left="8366" w:hanging="360"/>
      </w:pPr>
    </w:lvl>
    <w:lvl w:ilvl="7" w:tplc="041F0019" w:tentative="1">
      <w:start w:val="1"/>
      <w:numFmt w:val="lowerLetter"/>
      <w:lvlText w:val="%8."/>
      <w:lvlJc w:val="left"/>
      <w:pPr>
        <w:ind w:left="9086" w:hanging="360"/>
      </w:pPr>
    </w:lvl>
    <w:lvl w:ilvl="8" w:tplc="041F001B" w:tentative="1">
      <w:start w:val="1"/>
      <w:numFmt w:val="lowerRoman"/>
      <w:lvlText w:val="%9."/>
      <w:lvlJc w:val="right"/>
      <w:pPr>
        <w:ind w:left="9806" w:hanging="180"/>
      </w:pPr>
    </w:lvl>
  </w:abstractNum>
  <w:abstractNum w:abstractNumId="11">
    <w:nsid w:val="407C0EC3"/>
    <w:multiLevelType w:val="hybridMultilevel"/>
    <w:tmpl w:val="50E4A96C"/>
    <w:lvl w:ilvl="0" w:tplc="16D07090">
      <w:start w:val="1"/>
      <w:numFmt w:val="decimal"/>
      <w:lvlText w:val="%1."/>
      <w:lvlJc w:val="left"/>
      <w:pPr>
        <w:ind w:left="360" w:hanging="360"/>
      </w:pPr>
      <w:rPr>
        <w:rFonts w:hint="default"/>
        <w:b w:val="0"/>
        <w:bCs/>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50C32E7"/>
    <w:multiLevelType w:val="hybridMultilevel"/>
    <w:tmpl w:val="82F6ACE6"/>
    <w:lvl w:ilvl="0" w:tplc="1EEA56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5F74F7A"/>
    <w:multiLevelType w:val="hybridMultilevel"/>
    <w:tmpl w:val="80025F22"/>
    <w:lvl w:ilvl="0" w:tplc="041F0015">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D039C2"/>
    <w:multiLevelType w:val="hybridMultilevel"/>
    <w:tmpl w:val="739C837A"/>
    <w:lvl w:ilvl="0" w:tplc="CC904370">
      <w:start w:val="1"/>
      <w:numFmt w:val="bullet"/>
      <w:lvlText w:val=""/>
      <w:lvlJc w:val="left"/>
      <w:pPr>
        <w:ind w:left="360" w:hanging="360"/>
      </w:pPr>
      <w:rPr>
        <w:rFonts w:ascii="Wingdings" w:hAnsi="Wingdings" w:hint="default"/>
        <w:b/>
        <w:color w:val="C0504D" w:themeColor="accent2"/>
      </w:rPr>
    </w:lvl>
    <w:lvl w:ilvl="1" w:tplc="54C6B560">
      <w:start w:val="1"/>
      <w:numFmt w:val="bullet"/>
      <w:lvlText w:val=""/>
      <w:lvlJc w:val="left"/>
      <w:pPr>
        <w:ind w:left="785" w:hanging="360"/>
      </w:pPr>
      <w:rPr>
        <w:rFonts w:ascii="Wingdings" w:hAnsi="Wingdings" w:hint="default"/>
        <w:color w:val="auto"/>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F4E32C8"/>
    <w:multiLevelType w:val="hybridMultilevel"/>
    <w:tmpl w:val="C382E398"/>
    <w:lvl w:ilvl="0" w:tplc="CC904370">
      <w:start w:val="1"/>
      <w:numFmt w:val="bullet"/>
      <w:lvlText w:val=""/>
      <w:lvlJc w:val="left"/>
      <w:pPr>
        <w:ind w:left="785" w:hanging="360"/>
      </w:pPr>
      <w:rPr>
        <w:rFonts w:ascii="Wingdings" w:hAnsi="Wingdings" w:hint="default"/>
        <w:b/>
        <w:color w:val="C0504D" w:themeColor="accent2"/>
      </w:rPr>
    </w:lvl>
    <w:lvl w:ilvl="1" w:tplc="650262FE">
      <w:start w:val="1"/>
      <w:numFmt w:val="bullet"/>
      <w:lvlText w:val=""/>
      <w:lvlJc w:val="left"/>
      <w:pPr>
        <w:ind w:left="1210" w:hanging="360"/>
      </w:pPr>
      <w:rPr>
        <w:rFonts w:ascii="Wingdings" w:hAnsi="Wingdings" w:hint="default"/>
      </w:rPr>
    </w:lvl>
    <w:lvl w:ilvl="2" w:tplc="650262FE">
      <w:start w:val="1"/>
      <w:numFmt w:val="bullet"/>
      <w:lvlText w:val=""/>
      <w:lvlJc w:val="left"/>
      <w:pPr>
        <w:ind w:left="1314" w:hanging="180"/>
      </w:pPr>
      <w:rPr>
        <w:rFonts w:ascii="Wingdings" w:hAnsi="Wingdings" w:hint="default"/>
      </w:rPr>
    </w:lvl>
    <w:lvl w:ilvl="3" w:tplc="041F000F">
      <w:start w:val="1"/>
      <w:numFmt w:val="decimal"/>
      <w:lvlText w:val="%4."/>
      <w:lvlJc w:val="left"/>
      <w:pPr>
        <w:ind w:left="2945" w:hanging="360"/>
      </w:pPr>
    </w:lvl>
    <w:lvl w:ilvl="4" w:tplc="BD701C12">
      <w:start w:val="1"/>
      <w:numFmt w:val="bullet"/>
      <w:lvlText w:val=""/>
      <w:lvlJc w:val="left"/>
      <w:pPr>
        <w:ind w:left="3621" w:hanging="360"/>
      </w:pPr>
      <w:rPr>
        <w:rFonts w:ascii="Wingdings" w:hAnsi="Wingdings" w:hint="default"/>
        <w:b/>
        <w:color w:val="auto"/>
      </w:rPr>
    </w:lvl>
    <w:lvl w:ilvl="5" w:tplc="041F001B">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6">
    <w:nsid w:val="53133F7F"/>
    <w:multiLevelType w:val="hybridMultilevel"/>
    <w:tmpl w:val="289E8E18"/>
    <w:lvl w:ilvl="0" w:tplc="83B4FB1C">
      <w:start w:val="1"/>
      <w:numFmt w:val="bullet"/>
      <w:lvlText w:val="­"/>
      <w:lvlJc w:val="left"/>
      <w:pPr>
        <w:ind w:left="720" w:hanging="360"/>
      </w:pPr>
      <w:rPr>
        <w:rFonts w:ascii="Courier New" w:hAnsi="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BB734C"/>
    <w:multiLevelType w:val="hybridMultilevel"/>
    <w:tmpl w:val="9C608964"/>
    <w:lvl w:ilvl="0" w:tplc="EEF83B7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6E3836CD"/>
    <w:multiLevelType w:val="hybridMultilevel"/>
    <w:tmpl w:val="F4A851DC"/>
    <w:lvl w:ilvl="0" w:tplc="D5D02DB6">
      <w:start w:val="1"/>
      <w:numFmt w:val="decimal"/>
      <w:lvlText w:val="%1."/>
      <w:lvlJc w:val="left"/>
      <w:pPr>
        <w:ind w:left="2771"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820821"/>
    <w:multiLevelType w:val="multilevel"/>
    <w:tmpl w:val="F9A61FC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8B7EA4"/>
    <w:multiLevelType w:val="hybridMultilevel"/>
    <w:tmpl w:val="779AC0D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7FA22E0F"/>
    <w:multiLevelType w:val="singleLevel"/>
    <w:tmpl w:val="52D6441E"/>
    <w:lvl w:ilvl="0">
      <w:start w:val="3"/>
      <w:numFmt w:val="upperLetter"/>
      <w:lvlText w:val="%1."/>
      <w:legacy w:legacy="1" w:legacySpace="0" w:legacyIndent="0"/>
      <w:lvlJc w:val="left"/>
      <w:rPr>
        <w:rFonts w:ascii="Times New Roman" w:hAnsi="Times New Roman" w:cs="Times New Roman" w:hint="default"/>
        <w:color w:val="28292C"/>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5"/>
  </w:num>
  <w:num w:numId="8">
    <w:abstractNumId w:val="4"/>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9"/>
  </w:num>
  <w:num w:numId="14">
    <w:abstractNumId w:val="13"/>
  </w:num>
  <w:num w:numId="15">
    <w:abstractNumId w:val="21"/>
  </w:num>
  <w:num w:numId="16">
    <w:abstractNumId w:val="15"/>
  </w:num>
  <w:num w:numId="17">
    <w:abstractNumId w:val="9"/>
  </w:num>
  <w:num w:numId="18">
    <w:abstractNumId w:val="11"/>
  </w:num>
  <w:num w:numId="19">
    <w:abstractNumId w:val="14"/>
  </w:num>
  <w:num w:numId="20">
    <w:abstractNumId w:val="8"/>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07"/>
    <w:rsid w:val="000001F3"/>
    <w:rsid w:val="00005923"/>
    <w:rsid w:val="000104EE"/>
    <w:rsid w:val="00022C8C"/>
    <w:rsid w:val="00025685"/>
    <w:rsid w:val="00025DA8"/>
    <w:rsid w:val="00035778"/>
    <w:rsid w:val="00041DB8"/>
    <w:rsid w:val="0004758E"/>
    <w:rsid w:val="0006246C"/>
    <w:rsid w:val="00066707"/>
    <w:rsid w:val="00066DAA"/>
    <w:rsid w:val="0007421A"/>
    <w:rsid w:val="000756EB"/>
    <w:rsid w:val="000845A0"/>
    <w:rsid w:val="00085B39"/>
    <w:rsid w:val="00086888"/>
    <w:rsid w:val="00087FFC"/>
    <w:rsid w:val="00094657"/>
    <w:rsid w:val="0009540E"/>
    <w:rsid w:val="0009549A"/>
    <w:rsid w:val="0009574C"/>
    <w:rsid w:val="000C1988"/>
    <w:rsid w:val="000C5197"/>
    <w:rsid w:val="000D5A4A"/>
    <w:rsid w:val="000D66E3"/>
    <w:rsid w:val="000D66EF"/>
    <w:rsid w:val="000D7143"/>
    <w:rsid w:val="000E33CA"/>
    <w:rsid w:val="000E4296"/>
    <w:rsid w:val="000E6D84"/>
    <w:rsid w:val="000F1A0B"/>
    <w:rsid w:val="000F488D"/>
    <w:rsid w:val="000F4F4A"/>
    <w:rsid w:val="000F690A"/>
    <w:rsid w:val="000F7FC0"/>
    <w:rsid w:val="0010228C"/>
    <w:rsid w:val="0010734B"/>
    <w:rsid w:val="00113DF1"/>
    <w:rsid w:val="00115720"/>
    <w:rsid w:val="00123631"/>
    <w:rsid w:val="00127637"/>
    <w:rsid w:val="00134D28"/>
    <w:rsid w:val="00135C66"/>
    <w:rsid w:val="00142699"/>
    <w:rsid w:val="00145124"/>
    <w:rsid w:val="00150B72"/>
    <w:rsid w:val="001527EA"/>
    <w:rsid w:val="0016218D"/>
    <w:rsid w:val="0016310E"/>
    <w:rsid w:val="001728A1"/>
    <w:rsid w:val="001757C6"/>
    <w:rsid w:val="00182D0D"/>
    <w:rsid w:val="00184DAC"/>
    <w:rsid w:val="001877DF"/>
    <w:rsid w:val="00195050"/>
    <w:rsid w:val="001A3FBF"/>
    <w:rsid w:val="001A5D63"/>
    <w:rsid w:val="001C2FEE"/>
    <w:rsid w:val="001D2ABD"/>
    <w:rsid w:val="001D2EEC"/>
    <w:rsid w:val="001D3FE7"/>
    <w:rsid w:val="001D4E60"/>
    <w:rsid w:val="001E2676"/>
    <w:rsid w:val="001E4FAF"/>
    <w:rsid w:val="001F4733"/>
    <w:rsid w:val="00202ACA"/>
    <w:rsid w:val="0020312C"/>
    <w:rsid w:val="002051C2"/>
    <w:rsid w:val="0021022D"/>
    <w:rsid w:val="002120CF"/>
    <w:rsid w:val="00212F33"/>
    <w:rsid w:val="00215C2F"/>
    <w:rsid w:val="002200AE"/>
    <w:rsid w:val="00220155"/>
    <w:rsid w:val="00233288"/>
    <w:rsid w:val="002337FF"/>
    <w:rsid w:val="00237C54"/>
    <w:rsid w:val="00237E66"/>
    <w:rsid w:val="00246F3F"/>
    <w:rsid w:val="00260265"/>
    <w:rsid w:val="00265786"/>
    <w:rsid w:val="00275F98"/>
    <w:rsid w:val="00281CCF"/>
    <w:rsid w:val="00283AD1"/>
    <w:rsid w:val="002A4697"/>
    <w:rsid w:val="002A642A"/>
    <w:rsid w:val="002A775D"/>
    <w:rsid w:val="002B05EF"/>
    <w:rsid w:val="002B1D21"/>
    <w:rsid w:val="002B5C68"/>
    <w:rsid w:val="002C3563"/>
    <w:rsid w:val="002C40A5"/>
    <w:rsid w:val="002C49FC"/>
    <w:rsid w:val="002C6E20"/>
    <w:rsid w:val="002D1F1A"/>
    <w:rsid w:val="002D5A7B"/>
    <w:rsid w:val="002D6277"/>
    <w:rsid w:val="002E3E2D"/>
    <w:rsid w:val="002E4B4E"/>
    <w:rsid w:val="002F02ED"/>
    <w:rsid w:val="002F0ABC"/>
    <w:rsid w:val="002F3D71"/>
    <w:rsid w:val="002F6FB0"/>
    <w:rsid w:val="003027F9"/>
    <w:rsid w:val="0031146D"/>
    <w:rsid w:val="00311619"/>
    <w:rsid w:val="00315F9E"/>
    <w:rsid w:val="003168D4"/>
    <w:rsid w:val="00316B25"/>
    <w:rsid w:val="003172CA"/>
    <w:rsid w:val="00325B6D"/>
    <w:rsid w:val="003264D3"/>
    <w:rsid w:val="00331EA3"/>
    <w:rsid w:val="003342BC"/>
    <w:rsid w:val="00343066"/>
    <w:rsid w:val="00346CB1"/>
    <w:rsid w:val="00347182"/>
    <w:rsid w:val="00350EED"/>
    <w:rsid w:val="0035758D"/>
    <w:rsid w:val="00363C75"/>
    <w:rsid w:val="003766C5"/>
    <w:rsid w:val="0037730F"/>
    <w:rsid w:val="00382C75"/>
    <w:rsid w:val="00384336"/>
    <w:rsid w:val="00390D29"/>
    <w:rsid w:val="00393EE7"/>
    <w:rsid w:val="00397D41"/>
    <w:rsid w:val="003A0463"/>
    <w:rsid w:val="003A24D0"/>
    <w:rsid w:val="003A52DD"/>
    <w:rsid w:val="003A60E9"/>
    <w:rsid w:val="003B358D"/>
    <w:rsid w:val="003C0418"/>
    <w:rsid w:val="003C0D3E"/>
    <w:rsid w:val="003C4B1F"/>
    <w:rsid w:val="003D00F4"/>
    <w:rsid w:val="003E387B"/>
    <w:rsid w:val="003E6C8E"/>
    <w:rsid w:val="003E78E6"/>
    <w:rsid w:val="003F38EF"/>
    <w:rsid w:val="003F5228"/>
    <w:rsid w:val="003F7DA1"/>
    <w:rsid w:val="00400584"/>
    <w:rsid w:val="004035F1"/>
    <w:rsid w:val="004036CC"/>
    <w:rsid w:val="00407FE9"/>
    <w:rsid w:val="00420EC5"/>
    <w:rsid w:val="00421593"/>
    <w:rsid w:val="0042192E"/>
    <w:rsid w:val="0042267B"/>
    <w:rsid w:val="0043225C"/>
    <w:rsid w:val="00434518"/>
    <w:rsid w:val="00440DAF"/>
    <w:rsid w:val="0045446E"/>
    <w:rsid w:val="00455F5D"/>
    <w:rsid w:val="004604F3"/>
    <w:rsid w:val="0047009F"/>
    <w:rsid w:val="004717EB"/>
    <w:rsid w:val="00471DD8"/>
    <w:rsid w:val="00472706"/>
    <w:rsid w:val="00472DB2"/>
    <w:rsid w:val="00475DB1"/>
    <w:rsid w:val="004834DF"/>
    <w:rsid w:val="00483887"/>
    <w:rsid w:val="004845C4"/>
    <w:rsid w:val="004847FA"/>
    <w:rsid w:val="00497D5B"/>
    <w:rsid w:val="004A1056"/>
    <w:rsid w:val="004A4A7C"/>
    <w:rsid w:val="004A5076"/>
    <w:rsid w:val="004B400D"/>
    <w:rsid w:val="004B53A7"/>
    <w:rsid w:val="004C49DD"/>
    <w:rsid w:val="004C7B21"/>
    <w:rsid w:val="004E53DE"/>
    <w:rsid w:val="004F2FEC"/>
    <w:rsid w:val="0050045F"/>
    <w:rsid w:val="0050301D"/>
    <w:rsid w:val="005074D6"/>
    <w:rsid w:val="00516468"/>
    <w:rsid w:val="00521CDF"/>
    <w:rsid w:val="005423F2"/>
    <w:rsid w:val="00547107"/>
    <w:rsid w:val="005538EA"/>
    <w:rsid w:val="005550D7"/>
    <w:rsid w:val="00562AE6"/>
    <w:rsid w:val="00563E13"/>
    <w:rsid w:val="00567D11"/>
    <w:rsid w:val="00573007"/>
    <w:rsid w:val="0057404B"/>
    <w:rsid w:val="00577FC0"/>
    <w:rsid w:val="005826AF"/>
    <w:rsid w:val="005836C3"/>
    <w:rsid w:val="00583ED0"/>
    <w:rsid w:val="005900A8"/>
    <w:rsid w:val="0059531E"/>
    <w:rsid w:val="005A2AFB"/>
    <w:rsid w:val="005A53EB"/>
    <w:rsid w:val="005A7654"/>
    <w:rsid w:val="005B2BCA"/>
    <w:rsid w:val="005B36E0"/>
    <w:rsid w:val="005C04E2"/>
    <w:rsid w:val="005C19F4"/>
    <w:rsid w:val="005C7A2C"/>
    <w:rsid w:val="005D132F"/>
    <w:rsid w:val="005E099C"/>
    <w:rsid w:val="005E5613"/>
    <w:rsid w:val="005E6868"/>
    <w:rsid w:val="005E6BAA"/>
    <w:rsid w:val="005F6E96"/>
    <w:rsid w:val="006179F4"/>
    <w:rsid w:val="0063343C"/>
    <w:rsid w:val="006336DB"/>
    <w:rsid w:val="0063720E"/>
    <w:rsid w:val="00641668"/>
    <w:rsid w:val="00647291"/>
    <w:rsid w:val="00654A46"/>
    <w:rsid w:val="00655AE2"/>
    <w:rsid w:val="00657D3F"/>
    <w:rsid w:val="006632F3"/>
    <w:rsid w:val="0066470C"/>
    <w:rsid w:val="0066577B"/>
    <w:rsid w:val="006731CB"/>
    <w:rsid w:val="00683D6D"/>
    <w:rsid w:val="00684D0A"/>
    <w:rsid w:val="00692A45"/>
    <w:rsid w:val="00693D84"/>
    <w:rsid w:val="006A4B17"/>
    <w:rsid w:val="006A5A24"/>
    <w:rsid w:val="006B060D"/>
    <w:rsid w:val="006D0ADE"/>
    <w:rsid w:val="006E0139"/>
    <w:rsid w:val="006E0536"/>
    <w:rsid w:val="006E07AE"/>
    <w:rsid w:val="006E204C"/>
    <w:rsid w:val="006E567A"/>
    <w:rsid w:val="006F107A"/>
    <w:rsid w:val="006F3EA5"/>
    <w:rsid w:val="006F4012"/>
    <w:rsid w:val="007050B2"/>
    <w:rsid w:val="00706F3F"/>
    <w:rsid w:val="00712688"/>
    <w:rsid w:val="007207EF"/>
    <w:rsid w:val="007256AF"/>
    <w:rsid w:val="007316C0"/>
    <w:rsid w:val="007449F3"/>
    <w:rsid w:val="007456C3"/>
    <w:rsid w:val="00745C2B"/>
    <w:rsid w:val="0075100C"/>
    <w:rsid w:val="00751F8A"/>
    <w:rsid w:val="00753FCD"/>
    <w:rsid w:val="007574CB"/>
    <w:rsid w:val="00760500"/>
    <w:rsid w:val="00760C87"/>
    <w:rsid w:val="00774E7C"/>
    <w:rsid w:val="0077532E"/>
    <w:rsid w:val="00783AA7"/>
    <w:rsid w:val="00787319"/>
    <w:rsid w:val="00792B38"/>
    <w:rsid w:val="00793CEE"/>
    <w:rsid w:val="0079438E"/>
    <w:rsid w:val="007A2018"/>
    <w:rsid w:val="007A28D9"/>
    <w:rsid w:val="007A4F07"/>
    <w:rsid w:val="007A5365"/>
    <w:rsid w:val="007B250A"/>
    <w:rsid w:val="007B2A0B"/>
    <w:rsid w:val="007B6C9B"/>
    <w:rsid w:val="007B7CBC"/>
    <w:rsid w:val="007C5873"/>
    <w:rsid w:val="007D0BD8"/>
    <w:rsid w:val="007D58A2"/>
    <w:rsid w:val="007E0C77"/>
    <w:rsid w:val="007E2697"/>
    <w:rsid w:val="007F5CB2"/>
    <w:rsid w:val="00805D18"/>
    <w:rsid w:val="00807C3F"/>
    <w:rsid w:val="00815CCA"/>
    <w:rsid w:val="00832FC6"/>
    <w:rsid w:val="0083319A"/>
    <w:rsid w:val="00834775"/>
    <w:rsid w:val="00835FEF"/>
    <w:rsid w:val="008377DB"/>
    <w:rsid w:val="008478DC"/>
    <w:rsid w:val="00851D87"/>
    <w:rsid w:val="00852292"/>
    <w:rsid w:val="008529C6"/>
    <w:rsid w:val="00865D7D"/>
    <w:rsid w:val="0086742F"/>
    <w:rsid w:val="008733C0"/>
    <w:rsid w:val="00874DA1"/>
    <w:rsid w:val="0087525D"/>
    <w:rsid w:val="008872BE"/>
    <w:rsid w:val="008937E3"/>
    <w:rsid w:val="008A0D76"/>
    <w:rsid w:val="008A2618"/>
    <w:rsid w:val="008A4535"/>
    <w:rsid w:val="008B5C13"/>
    <w:rsid w:val="008B781D"/>
    <w:rsid w:val="008C2377"/>
    <w:rsid w:val="008D2788"/>
    <w:rsid w:val="008D759E"/>
    <w:rsid w:val="008E2424"/>
    <w:rsid w:val="008F0A13"/>
    <w:rsid w:val="008F598C"/>
    <w:rsid w:val="008F6A5A"/>
    <w:rsid w:val="008F7285"/>
    <w:rsid w:val="00906DD0"/>
    <w:rsid w:val="00911481"/>
    <w:rsid w:val="0091167B"/>
    <w:rsid w:val="00911D3E"/>
    <w:rsid w:val="00914433"/>
    <w:rsid w:val="00916F0F"/>
    <w:rsid w:val="009217AE"/>
    <w:rsid w:val="0093223D"/>
    <w:rsid w:val="00932F51"/>
    <w:rsid w:val="00933401"/>
    <w:rsid w:val="00934537"/>
    <w:rsid w:val="00935F8F"/>
    <w:rsid w:val="009478AA"/>
    <w:rsid w:val="0095076F"/>
    <w:rsid w:val="00951BA0"/>
    <w:rsid w:val="00957172"/>
    <w:rsid w:val="00961B1C"/>
    <w:rsid w:val="00970565"/>
    <w:rsid w:val="00972398"/>
    <w:rsid w:val="00972A01"/>
    <w:rsid w:val="00972A8F"/>
    <w:rsid w:val="00986320"/>
    <w:rsid w:val="00990E5C"/>
    <w:rsid w:val="00994CC2"/>
    <w:rsid w:val="00997408"/>
    <w:rsid w:val="009A3954"/>
    <w:rsid w:val="009A53A6"/>
    <w:rsid w:val="009A667D"/>
    <w:rsid w:val="009A765A"/>
    <w:rsid w:val="009B7EA9"/>
    <w:rsid w:val="009C0696"/>
    <w:rsid w:val="009C15F7"/>
    <w:rsid w:val="009C5E2D"/>
    <w:rsid w:val="009C68E0"/>
    <w:rsid w:val="009D0AD7"/>
    <w:rsid w:val="009E3839"/>
    <w:rsid w:val="009E67D0"/>
    <w:rsid w:val="009E77D2"/>
    <w:rsid w:val="009E7F8E"/>
    <w:rsid w:val="009F243F"/>
    <w:rsid w:val="009F3657"/>
    <w:rsid w:val="009F4774"/>
    <w:rsid w:val="00A050EF"/>
    <w:rsid w:val="00A13AC3"/>
    <w:rsid w:val="00A14859"/>
    <w:rsid w:val="00A15DE6"/>
    <w:rsid w:val="00A22286"/>
    <w:rsid w:val="00A30499"/>
    <w:rsid w:val="00A3165F"/>
    <w:rsid w:val="00A320BA"/>
    <w:rsid w:val="00A34E11"/>
    <w:rsid w:val="00A36DAA"/>
    <w:rsid w:val="00A373E3"/>
    <w:rsid w:val="00A42C70"/>
    <w:rsid w:val="00A43DAE"/>
    <w:rsid w:val="00A45AA5"/>
    <w:rsid w:val="00A46EA8"/>
    <w:rsid w:val="00A50249"/>
    <w:rsid w:val="00A52800"/>
    <w:rsid w:val="00A536B0"/>
    <w:rsid w:val="00A569BB"/>
    <w:rsid w:val="00A66B8B"/>
    <w:rsid w:val="00A677ED"/>
    <w:rsid w:val="00A742AF"/>
    <w:rsid w:val="00A75C07"/>
    <w:rsid w:val="00A8000F"/>
    <w:rsid w:val="00A87B26"/>
    <w:rsid w:val="00A96F05"/>
    <w:rsid w:val="00AA217B"/>
    <w:rsid w:val="00AA2C43"/>
    <w:rsid w:val="00AA33CC"/>
    <w:rsid w:val="00AB6476"/>
    <w:rsid w:val="00AC0CA9"/>
    <w:rsid w:val="00AC3055"/>
    <w:rsid w:val="00AC51D8"/>
    <w:rsid w:val="00AE095F"/>
    <w:rsid w:val="00AE4038"/>
    <w:rsid w:val="00AF60E3"/>
    <w:rsid w:val="00AF6EA5"/>
    <w:rsid w:val="00B001C5"/>
    <w:rsid w:val="00B03421"/>
    <w:rsid w:val="00B04955"/>
    <w:rsid w:val="00B059A8"/>
    <w:rsid w:val="00B05D0D"/>
    <w:rsid w:val="00B07A2C"/>
    <w:rsid w:val="00B10F69"/>
    <w:rsid w:val="00B136AA"/>
    <w:rsid w:val="00B226AA"/>
    <w:rsid w:val="00B22EBC"/>
    <w:rsid w:val="00B22ED5"/>
    <w:rsid w:val="00B25AD8"/>
    <w:rsid w:val="00B26F10"/>
    <w:rsid w:val="00B341E6"/>
    <w:rsid w:val="00B47FA8"/>
    <w:rsid w:val="00B519ED"/>
    <w:rsid w:val="00B5579A"/>
    <w:rsid w:val="00B55F05"/>
    <w:rsid w:val="00B60AEE"/>
    <w:rsid w:val="00B60CBA"/>
    <w:rsid w:val="00B73CE4"/>
    <w:rsid w:val="00B82CE2"/>
    <w:rsid w:val="00B85B5C"/>
    <w:rsid w:val="00B87BC1"/>
    <w:rsid w:val="00B9497A"/>
    <w:rsid w:val="00BA3CFE"/>
    <w:rsid w:val="00BD031D"/>
    <w:rsid w:val="00BD2CDA"/>
    <w:rsid w:val="00BD31E8"/>
    <w:rsid w:val="00BE062D"/>
    <w:rsid w:val="00BE1073"/>
    <w:rsid w:val="00BE3C5A"/>
    <w:rsid w:val="00BE633E"/>
    <w:rsid w:val="00BF19B0"/>
    <w:rsid w:val="00BF49E5"/>
    <w:rsid w:val="00C0073E"/>
    <w:rsid w:val="00C01689"/>
    <w:rsid w:val="00C02F4F"/>
    <w:rsid w:val="00C02F56"/>
    <w:rsid w:val="00C04914"/>
    <w:rsid w:val="00C04C89"/>
    <w:rsid w:val="00C0538B"/>
    <w:rsid w:val="00C34DF9"/>
    <w:rsid w:val="00C36398"/>
    <w:rsid w:val="00C442AC"/>
    <w:rsid w:val="00C46AD7"/>
    <w:rsid w:val="00C520A6"/>
    <w:rsid w:val="00C60510"/>
    <w:rsid w:val="00C6124B"/>
    <w:rsid w:val="00C76217"/>
    <w:rsid w:val="00C86420"/>
    <w:rsid w:val="00C94ACE"/>
    <w:rsid w:val="00C95251"/>
    <w:rsid w:val="00CA032F"/>
    <w:rsid w:val="00CA0C13"/>
    <w:rsid w:val="00CA1E9A"/>
    <w:rsid w:val="00CA26BD"/>
    <w:rsid w:val="00CA272C"/>
    <w:rsid w:val="00CB3EA5"/>
    <w:rsid w:val="00CB4398"/>
    <w:rsid w:val="00CC0DAB"/>
    <w:rsid w:val="00CC15CC"/>
    <w:rsid w:val="00CC6AC3"/>
    <w:rsid w:val="00CC7F35"/>
    <w:rsid w:val="00CC7FCF"/>
    <w:rsid w:val="00CD67CA"/>
    <w:rsid w:val="00CD77AF"/>
    <w:rsid w:val="00CF6B4E"/>
    <w:rsid w:val="00D01B13"/>
    <w:rsid w:val="00D041E7"/>
    <w:rsid w:val="00D11B20"/>
    <w:rsid w:val="00D134F8"/>
    <w:rsid w:val="00D17152"/>
    <w:rsid w:val="00D20092"/>
    <w:rsid w:val="00D206D9"/>
    <w:rsid w:val="00D209D9"/>
    <w:rsid w:val="00D23823"/>
    <w:rsid w:val="00D274F6"/>
    <w:rsid w:val="00D2787C"/>
    <w:rsid w:val="00D3775F"/>
    <w:rsid w:val="00D416B1"/>
    <w:rsid w:val="00D42058"/>
    <w:rsid w:val="00D6032E"/>
    <w:rsid w:val="00D60770"/>
    <w:rsid w:val="00D61DB7"/>
    <w:rsid w:val="00D63DFC"/>
    <w:rsid w:val="00D70F92"/>
    <w:rsid w:val="00D8110E"/>
    <w:rsid w:val="00D83AFD"/>
    <w:rsid w:val="00DA68D1"/>
    <w:rsid w:val="00DB1306"/>
    <w:rsid w:val="00DB1427"/>
    <w:rsid w:val="00DB5B70"/>
    <w:rsid w:val="00DC6D12"/>
    <w:rsid w:val="00DD5C0A"/>
    <w:rsid w:val="00DE1F69"/>
    <w:rsid w:val="00DF0D1B"/>
    <w:rsid w:val="00DF1E37"/>
    <w:rsid w:val="00DF4B44"/>
    <w:rsid w:val="00DF7E6B"/>
    <w:rsid w:val="00E00B68"/>
    <w:rsid w:val="00E01CE0"/>
    <w:rsid w:val="00E06ECA"/>
    <w:rsid w:val="00E21C28"/>
    <w:rsid w:val="00E266BA"/>
    <w:rsid w:val="00E26A69"/>
    <w:rsid w:val="00E34E80"/>
    <w:rsid w:val="00E3694C"/>
    <w:rsid w:val="00E44AA4"/>
    <w:rsid w:val="00E452F2"/>
    <w:rsid w:val="00E464C8"/>
    <w:rsid w:val="00E46B2C"/>
    <w:rsid w:val="00E53298"/>
    <w:rsid w:val="00E54E7A"/>
    <w:rsid w:val="00E555D2"/>
    <w:rsid w:val="00E7006F"/>
    <w:rsid w:val="00E702FC"/>
    <w:rsid w:val="00E80CF7"/>
    <w:rsid w:val="00E85A27"/>
    <w:rsid w:val="00E870C5"/>
    <w:rsid w:val="00E91D21"/>
    <w:rsid w:val="00E91DBC"/>
    <w:rsid w:val="00E928B7"/>
    <w:rsid w:val="00E975C4"/>
    <w:rsid w:val="00EA04A2"/>
    <w:rsid w:val="00EA445D"/>
    <w:rsid w:val="00EA491A"/>
    <w:rsid w:val="00EA6A6E"/>
    <w:rsid w:val="00EB2060"/>
    <w:rsid w:val="00EB2BCB"/>
    <w:rsid w:val="00EB3189"/>
    <w:rsid w:val="00EB5489"/>
    <w:rsid w:val="00EC28FD"/>
    <w:rsid w:val="00EE1967"/>
    <w:rsid w:val="00EF027D"/>
    <w:rsid w:val="00EF0DB8"/>
    <w:rsid w:val="00EF33BA"/>
    <w:rsid w:val="00EF6087"/>
    <w:rsid w:val="00F0296C"/>
    <w:rsid w:val="00F079C2"/>
    <w:rsid w:val="00F07BE8"/>
    <w:rsid w:val="00F128E6"/>
    <w:rsid w:val="00F24691"/>
    <w:rsid w:val="00F26488"/>
    <w:rsid w:val="00F368B4"/>
    <w:rsid w:val="00F4711A"/>
    <w:rsid w:val="00F60089"/>
    <w:rsid w:val="00F61158"/>
    <w:rsid w:val="00F61BA6"/>
    <w:rsid w:val="00F62D78"/>
    <w:rsid w:val="00F63AD3"/>
    <w:rsid w:val="00F658F4"/>
    <w:rsid w:val="00F6722F"/>
    <w:rsid w:val="00F70861"/>
    <w:rsid w:val="00F71CE4"/>
    <w:rsid w:val="00F816D1"/>
    <w:rsid w:val="00F83D40"/>
    <w:rsid w:val="00F90F72"/>
    <w:rsid w:val="00F937EA"/>
    <w:rsid w:val="00F94F73"/>
    <w:rsid w:val="00F956FD"/>
    <w:rsid w:val="00FA6198"/>
    <w:rsid w:val="00FA6791"/>
    <w:rsid w:val="00FB0899"/>
    <w:rsid w:val="00FB1CE0"/>
    <w:rsid w:val="00FC350C"/>
    <w:rsid w:val="00FC7F4D"/>
    <w:rsid w:val="00FD11CF"/>
    <w:rsid w:val="00FD2CCF"/>
    <w:rsid w:val="00FE0DEF"/>
    <w:rsid w:val="00FE1039"/>
    <w:rsid w:val="00FE3D87"/>
    <w:rsid w:val="00FE6B11"/>
    <w:rsid w:val="00FF0826"/>
    <w:rsid w:val="00FF6634"/>
    <w:rsid w:val="00FF6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Liste Paragraf 1,Liste Paragraf1"/>
    <w:basedOn w:val="Normal"/>
    <w:link w:val="ListeParagrafChar"/>
    <w:uiPriority w:val="34"/>
    <w:qFormat/>
    <w:rsid w:val="00C36398"/>
    <w:pPr>
      <w:ind w:left="720"/>
      <w:contextualSpacing/>
    </w:pPr>
  </w:style>
  <w:style w:type="table" w:styleId="OrtaKlavuz3-Vurgu1">
    <w:name w:val="Medium Grid 3 Accent 1"/>
    <w:basedOn w:val="NormalTablo"/>
    <w:uiPriority w:val="69"/>
    <w:rsid w:val="007B7C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D42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2058"/>
    <w:rPr>
      <w:rFonts w:ascii="Tahoma" w:hAnsi="Tahoma" w:cs="Tahoma"/>
      <w:sz w:val="16"/>
      <w:szCs w:val="16"/>
    </w:r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09540E"/>
  </w:style>
  <w:style w:type="table" w:styleId="TabloKlavuzu">
    <w:name w:val="Table Grid"/>
    <w:basedOn w:val="NormalTablo"/>
    <w:rsid w:val="00F94F7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Liste Paragraf 1,Liste Paragraf1"/>
    <w:basedOn w:val="Normal"/>
    <w:link w:val="ListeParagrafChar"/>
    <w:uiPriority w:val="34"/>
    <w:qFormat/>
    <w:rsid w:val="00C36398"/>
    <w:pPr>
      <w:ind w:left="720"/>
      <w:contextualSpacing/>
    </w:pPr>
  </w:style>
  <w:style w:type="table" w:styleId="OrtaKlavuz3-Vurgu1">
    <w:name w:val="Medium Grid 3 Accent 1"/>
    <w:basedOn w:val="NormalTablo"/>
    <w:uiPriority w:val="69"/>
    <w:rsid w:val="007B7C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D42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2058"/>
    <w:rPr>
      <w:rFonts w:ascii="Tahoma" w:hAnsi="Tahoma" w:cs="Tahoma"/>
      <w:sz w:val="16"/>
      <w:szCs w:val="16"/>
    </w:r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09540E"/>
  </w:style>
  <w:style w:type="table" w:styleId="TabloKlavuzu">
    <w:name w:val="Table Grid"/>
    <w:basedOn w:val="NormalTablo"/>
    <w:rsid w:val="00F94F7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3944">
      <w:bodyDiv w:val="1"/>
      <w:marLeft w:val="0"/>
      <w:marRight w:val="0"/>
      <w:marTop w:val="0"/>
      <w:marBottom w:val="0"/>
      <w:divBdr>
        <w:top w:val="none" w:sz="0" w:space="0" w:color="auto"/>
        <w:left w:val="none" w:sz="0" w:space="0" w:color="auto"/>
        <w:bottom w:val="none" w:sz="0" w:space="0" w:color="auto"/>
        <w:right w:val="none" w:sz="0" w:space="0" w:color="auto"/>
      </w:divBdr>
    </w:div>
    <w:div w:id="17686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C6-1283-42F9-ABD2-E5A15F36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4193</Words>
  <Characters>23904</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Zöhre AK</dc:creator>
  <cp:lastModifiedBy>Mustafa KOÇ</cp:lastModifiedBy>
  <cp:revision>2</cp:revision>
  <cp:lastPrinted>2017-10-03T16:43:00Z</cp:lastPrinted>
  <dcterms:created xsi:type="dcterms:W3CDTF">2017-10-05T06:42:00Z</dcterms:created>
  <dcterms:modified xsi:type="dcterms:W3CDTF">2017-10-05T06:42:00Z</dcterms:modified>
</cp:coreProperties>
</file>