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3A" w:rsidRPr="00D824F6" w:rsidRDefault="00D9143A" w:rsidP="00D824F6">
      <w:pPr>
        <w:tabs>
          <w:tab w:val="left" w:pos="567"/>
          <w:tab w:val="center" w:pos="994"/>
          <w:tab w:val="center" w:pos="3543"/>
          <w:tab w:val="right" w:pos="6520"/>
        </w:tabs>
        <w:spacing w:after="0" w:line="240" w:lineRule="exact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127EDF">
        <w:rPr>
          <w:rFonts w:ascii="Arial" w:eastAsia="Times New Roman" w:hAnsi="Arial" w:cs="Arial"/>
          <w:sz w:val="16"/>
          <w:szCs w:val="16"/>
          <w:lang w:eastAsia="tr-TR"/>
        </w:rPr>
        <w:t>31 Aralık 2012  PAZARTESİ</w:t>
      </w:r>
      <w:r w:rsidR="00D824F6">
        <w:rPr>
          <w:rFonts w:ascii="Arial" w:eastAsia="Times New Roman" w:hAnsi="Arial" w:cs="Arial"/>
          <w:b/>
          <w:sz w:val="16"/>
          <w:szCs w:val="16"/>
          <w:lang w:eastAsia="tr-TR"/>
        </w:rPr>
        <w:tab/>
        <w:t xml:space="preserve">                                         </w:t>
      </w:r>
      <w:r w:rsidRPr="00127EDF">
        <w:rPr>
          <w:rFonts w:ascii="Palatino Linotype" w:eastAsia="Times New Roman" w:hAnsi="Palatino Linotype" w:cs="Times New Roman"/>
          <w:b/>
          <w:color w:val="800080"/>
          <w:sz w:val="24"/>
          <w:szCs w:val="24"/>
          <w:lang w:eastAsia="tr-TR"/>
        </w:rPr>
        <w:t>Resmî Gazete</w:t>
      </w:r>
      <w:r w:rsidR="00D824F6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="00D824F6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proofErr w:type="gramStart"/>
      <w:r w:rsidRPr="00127EDF">
        <w:rPr>
          <w:rFonts w:ascii="Arial" w:eastAsia="Times New Roman" w:hAnsi="Arial" w:cs="Arial"/>
          <w:sz w:val="16"/>
          <w:szCs w:val="16"/>
          <w:lang w:eastAsia="tr-TR"/>
        </w:rPr>
        <w:t>Sayı : 28514</w:t>
      </w:r>
      <w:proofErr w:type="gramEnd"/>
      <w:r w:rsidRPr="00127EDF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Pr="00127EDF">
        <w:rPr>
          <w:rFonts w:ascii="Arial" w:eastAsia="Times New Roman" w:hAnsi="Arial" w:cs="Arial"/>
          <w:b/>
          <w:bCs/>
          <w:sz w:val="16"/>
          <w:szCs w:val="16"/>
          <w:lang w:eastAsia="tr-TR"/>
        </w:rPr>
        <w:t>(Mükerrer)</w:t>
      </w:r>
    </w:p>
    <w:p w:rsidR="00D9143A" w:rsidRPr="00127EDF" w:rsidRDefault="00D9143A" w:rsidP="00127E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80"/>
          <w:sz w:val="18"/>
          <w:szCs w:val="18"/>
          <w:lang w:eastAsia="tr-TR"/>
        </w:rPr>
      </w:pPr>
      <w:r w:rsidRPr="00127EDF">
        <w:rPr>
          <w:rFonts w:ascii="Arial" w:eastAsia="Times New Roman" w:hAnsi="Arial" w:cs="Arial"/>
          <w:b/>
          <w:color w:val="000080"/>
          <w:sz w:val="18"/>
          <w:szCs w:val="18"/>
          <w:lang w:eastAsia="tr-TR"/>
        </w:rPr>
        <w:t>KANUN</w:t>
      </w:r>
    </w:p>
    <w:p w:rsidR="00D9143A" w:rsidRPr="00127EDF" w:rsidRDefault="00D9143A" w:rsidP="00127EDF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2013 YILI MERKEZ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 Y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NET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 B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E KANUNU</w:t>
      </w:r>
    </w:p>
    <w:p w:rsidR="00D9143A" w:rsidRPr="00127EDF" w:rsidRDefault="00D9143A" w:rsidP="00127EDF">
      <w:pPr>
        <w:tabs>
          <w:tab w:val="left" w:pos="566"/>
          <w:tab w:val="right" w:pos="8031"/>
        </w:tabs>
        <w:spacing w:before="113" w:after="113" w:line="240" w:lineRule="exact"/>
        <w:ind w:firstLine="567"/>
        <w:jc w:val="both"/>
        <w:rPr>
          <w:rFonts w:ascii="Times New Roman" w:eastAsia="ヒラギノ明朝 Pro W3" w:hAnsi="Times" w:cs="Times New Roman"/>
          <w:b/>
          <w:sz w:val="18"/>
          <w:szCs w:val="18"/>
          <w:u w:val="single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  <w:u w:val="single"/>
        </w:rPr>
        <w:t>Kanun No. 6363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ab/>
      </w:r>
      <w:r w:rsidRPr="00127EDF">
        <w:rPr>
          <w:rFonts w:ascii="Times New Roman" w:eastAsia="ヒラギノ明朝 Pro W3" w:hAnsi="Times" w:cs="Times New Roman"/>
          <w:b/>
          <w:sz w:val="18"/>
          <w:szCs w:val="18"/>
          <w:u w:val="single"/>
        </w:rPr>
        <w:t xml:space="preserve">Kabul Tarihi: </w:t>
      </w:r>
      <w:proofErr w:type="gramStart"/>
      <w:r w:rsidRPr="00127EDF">
        <w:rPr>
          <w:rFonts w:ascii="Times New Roman" w:eastAsia="ヒラギノ明朝 Pro W3" w:hAnsi="Times" w:cs="Times New Roman"/>
          <w:b/>
          <w:sz w:val="18"/>
          <w:szCs w:val="18"/>
          <w:u w:val="single"/>
        </w:rPr>
        <w:t>20/12/2012</w:t>
      </w:r>
      <w:proofErr w:type="gramEnd"/>
    </w:p>
    <w:p w:rsidR="00D9143A" w:rsidRPr="00127EDF" w:rsidRDefault="00D9143A" w:rsidP="00127EDF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B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D9143A" w:rsidRPr="00127EDF" w:rsidRDefault="00D9143A" w:rsidP="00127EDF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Gider, Gelir, Finansman ve Denge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Gider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Bu Kanuna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(A)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aretli cetvellerde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sterildi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zere,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10/12/2003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5018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Kamu Mal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netimi ve Kontrol Kanununa ekli;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a) (I)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cetvelde yer alan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ka</w:t>
      </w:r>
      <w:bookmarkStart w:id="0" w:name="_GoBack"/>
      <w:bookmarkEnd w:id="0"/>
      <w:r w:rsidRPr="00127EDF">
        <w:rPr>
          <w:rFonts w:ascii="Times New Roman" w:eastAsia="ヒラギノ明朝 Pro W3" w:hAnsi="Times" w:cs="Times New Roman"/>
          <w:sz w:val="18"/>
          <w:szCs w:val="18"/>
        </w:rPr>
        <w:t>mu idarelerine 396.705.004.350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Liras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b) (II)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idarelere 45.002.167.100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Liras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c) (III)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cetvelde yer alan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zenleyici ve denetleyici kurumlara 2.363.741.000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Liras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verilmi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Gelir ve finansman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Gelirler: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Bu Kanuna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(B)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aretli cetvellerde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sterildi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zere, 5018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Kanuna ekli;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a) (I)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cetvelde yer alan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enin gelirleri 362.960.518.000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Liras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b) (II)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idarelerin gelirleri 6.617.837.200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Liras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gelir, 38.766.047.450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Liras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Hazine yard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olmak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zere toplam 45.383.884.650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Liras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c) (III)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cetvelde yer alan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zenleyici ve denetleyici kurumlar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gelirleri 2.342.150.000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Liras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gelir, 21.591.000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Liras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Hazine yard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olmak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zere toplam 2.363.741.000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Liras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olarak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tahmin edilmi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(2) Finansman: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Bu Kanuna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(F)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aretli cetvellerde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sterildi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zere, 5018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Kanuna ekli (II)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idarelerin net finansman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125.296.000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Liras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olarak tahmin edilmi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Denge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Bu Kanunun 1 inci maddesinin birinci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(a) bendinde belirtilen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 toplam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2 </w:t>
      </w:r>
      <w:proofErr w:type="spellStart"/>
      <w:r w:rsidRPr="00127EDF">
        <w:rPr>
          <w:rFonts w:ascii="Times New Roman" w:eastAsia="ヒラギノ明朝 Pro W3" w:hAnsi="Times" w:cs="Times New Roman"/>
          <w:sz w:val="18"/>
          <w:szCs w:val="18"/>
        </w:rPr>
        <w:t>nci</w:t>
      </w:r>
      <w:proofErr w:type="spell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maddesinin birinci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(a) bendinde yer alan tahmini gelirler toplam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fark, net bor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lanma ile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9143A" w:rsidRPr="00127EDF" w:rsidRDefault="00D9143A" w:rsidP="00127EDF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D9143A" w:rsidRPr="00127EDF" w:rsidRDefault="00D9143A" w:rsidP="00127EDF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B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e D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zenine ve Uygulamas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na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kin H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mler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Ba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 cetveller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Bu Kanuna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cetveller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da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sterilmi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tir: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a) Bu Kanunun 1 inci maddesi ile verilen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deneklerin da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(A)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b) Merkezi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netim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kamu idareleri taraf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ndan ilgili mevzuata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 tahsiline devam olunacak gelirler (B)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c) Merkezi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netim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kamu idarelerinin gelirlerine dayanak 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kil eden temel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mler (C)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) Baz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deneklerin kullan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ve harcamalara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kin esaslar (E)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d) 5018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Kanuna ekli (II) ve (III)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cetvellerde yer alan idare ve kurumlar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nakit imk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bu imk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nlardan harcanmas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len tutarlar (F)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e)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10/2/1954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6245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Harc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rah Kanunu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mleri uyar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nca verilecek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ndelik ve tazminat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(H)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f)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itli kanun ve kanun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nde kararnamelere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kanununda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sterilmesi gereken parasal ve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rlar (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)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g) Ek ders, konferans ve fazla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cretleri ile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er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cret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demelerinin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(K)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11/8/1982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2698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Milli 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itim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Okul Pansiyonlar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Kanununun 3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maddesi gere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ince Milli 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itim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netilen okul pansiyonlar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rencilerinden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nacak pansiyon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cretleri (M)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h)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7/6/1939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3634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Milli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dafaa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kellefiyeti Kanunu uyar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nca milli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dafaa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kellefiyeti yoluyla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nacak hayvanlar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de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erleri (O)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) 3634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 uyar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nca milli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dafaa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kellefiyeti yoluyla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nacak motorlu ta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ortalama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de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erleri ile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 kira bedelleri (P)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i) 5018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Kanuna ekli (I), (II) ve (III)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cetvellerde yer alan kamu idarelerinin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inde edinebilecekleri ta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cinsi, adedi, hangi hizmette kullan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laca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kayna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5/1/1961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237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 Kanununa tabi kurumlar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inde sat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alacaklar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azami sat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alma bedelleri (T)</w:t>
      </w:r>
    </w:p>
    <w:p w:rsidR="00D9143A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j) Kanunlar ve kararnamelerle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vatani hizmet ayl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(V)</w:t>
      </w:r>
    </w:p>
    <w:p w:rsidR="00200640" w:rsidRPr="00127EDF" w:rsidRDefault="00200640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lastRenderedPageBreak/>
        <w:t>Gerekti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inde kullan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labilecek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denekler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5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Personel Giderlerini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lama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i: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ndaki kamu idareleri ile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idarelerin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elerine konulan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deneklerin yetmeyece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 anla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takdirde, ilgili mevzuat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gerektirdi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 giderler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“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Personel Giderleri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”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“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Sosyal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venlik Kurumlar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Devlet Primi Giderleri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”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ilgili mevcut veya yeni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lacak tertiplere, Maliye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12.01.31.00-01.1.2.00-1-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09.1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tertibinde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denekten aktarma yapmaya,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(2) Yedek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denek: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Maliye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12.01.31.00-01.1.2.00-1-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09.6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tertibinde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denekten,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ndaki kamu idareleri ile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idarelerin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elerinde mevcut veya yeni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lacak (01), (02), (03), (05) ve (08) ekonomik kodlar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eren tertipler ile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ok acil ve zorunlu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llerde (06) ve (07) ekonomik kodlar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eren tertiplere aktarma yapmaya,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(3)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zland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rma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i: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Maliye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12.01.31.00-01.1.2.00-1-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09.3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tertibinde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denekten,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Uygulanmas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Koordinasyonu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zlenmesine Dair Karar esaslar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uyularak,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uygulama durumuna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 gerekti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inde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ncelikli sekt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rlerde yer alan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zland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veya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inde geli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artlara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ncelikli sekt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 ve alt sekt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rlerde yer alan ve programa yeni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gereken projelere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denek tahsisi veya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deneklerinin art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nda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ullan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lmak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zere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ndaki kamu idareleri ile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idarelerin projelerine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kin mevcut veya yeni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lacak tertiplere aktarma yapmaya,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(4) Do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 Afet Giderlerini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lama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i: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Maliye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12.01.31.00-01.1.2.00-1-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09.5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tertibinde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i,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nitelikli giderler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kilendirilmek kayd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yla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ndaki kamu idareleri ile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idarelerin her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do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 afet giderlerini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lamak amac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yla mevcut veya yeni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lacak tertiplerine aktarmaya,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Aktarma, ekleme, devir ve iptal 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lemleri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6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a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)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ndaki kamu idareleri ile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idarelerin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elerinin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“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Personel Giderleri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”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“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Sosyal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venlik Kurumlar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Devlet Primi Giderleri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”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tertiplerinde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denekleri, Maliye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“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Personel Giderlerini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lama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”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gerekti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inde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“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Yedek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”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tertibine;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ekonomik kodlara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kin tertiplerde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 ise 5018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Kanunun 21 inci maddesinin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üçü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yer alan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rlamalara tabi olmaks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Maliye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“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Yedek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”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tertibine aktarmaya,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b)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kamu idarelerinden, hizmeti yapt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racak olan kamu idaresinin iste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zerine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esinden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inde hizmeti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tecek olan idarenin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esine, fonksiyonel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fland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rma ayr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bak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aktarmaya ve bu konuda gerekli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lemleri yapmaya,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c)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kamu idareleri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Uygulanmas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Koordinasyonu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zlenmesine Dair Karara uygun olarak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de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iklik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linde, de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iklik konusu projelere ait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deneklerle ilgili kurumlar 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aktarmaya,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) Kamu idarelerinin yeniden 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kilatlanmas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sonucu,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kanunlar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uygulanmas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kesin hesaplar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haz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rlanmas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ilgili olarak gerekli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len her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ve muhasebe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gerekli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zenlemeleri yapmaya,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(2)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ndaki kamu idareleri ile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idareler, aktarma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lacak tertipteki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zde 20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sine kadar kendi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inde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aktarmas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yapabilirler. Bu idarelerin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zde 20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yi ge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en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her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kurum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 aktarmalar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yapmaya 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yetkilidir.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Uygulanmas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Koordinasyonu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zlenmesine Dair Karara uygun olarak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ek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cetvellerinde yer alan projelerde de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iklik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linde bu de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ikli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gerektirdi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 tertipler 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aktarmas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lemlerinin tamam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5018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Kanunun 21 inci maddesinin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üçü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yer alan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rlamalara tabi olmaks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idarelerce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(3)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ndaki kamu idareleri,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29/6/2011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644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evre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ehircilik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kilat ve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revleri Hakk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Kanun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nde Kararname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evre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ehircilik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yapt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raca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lere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kin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deneklerini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evre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ehircilik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esine aktarmaya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(4) Milli Savunma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Jandarma Genel Komutanl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Sahil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venlik Komutanl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; cari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inde aralar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 hizmetlerin bedellerini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lamak amac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yla var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lacak mutabakat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zerine,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 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aktarma yapmaya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(5) Milli Savunma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Jandarma Genel Komutanl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Sahil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venlik Komutanl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;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elerinde yer alan Silahl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Kuvvetlerin tek merkezden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netilmesi gereken ikmal ve tedarik hizmetleri ile bir fonksiyona ait bir hizmetin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bir fonksiyon taraf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lmesi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linde ilgili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i, fonksiyonlar 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olarak aktarmaya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(6)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 ile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zenleyici ve denetleyici kurumlar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(B)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aretli cetvellerinde belirtilen tahmini tutarlar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zerinde ger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en gelirler ile (F)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aretli cetvellerinde belirtilen net finansman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an finansman ger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me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idare ve kurumlar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elerinin mevcut veya yeni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lacak tertiplerine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olarak eklemeye Maliye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nca belirlenecek usul ve esaslar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evesinde kamu idareleri yetkilidir.</w:t>
      </w:r>
      <w:proofErr w:type="gramEnd"/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(7)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kamu idareleri 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ndaki kaynak transferleri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aktarma suretiyle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r. Merkezi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netim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idareler ve kurumlar 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kaynak transferleri tahakkuk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lemleriyle ger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tirilir.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lastRenderedPageBreak/>
        <w:t>Bu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tahsil edilen tutarlar, ilgili kamu idaresince bir yandan (B)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aretli cetvellere gelir,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yandan (A)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aretli cetvellere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kaydedilir.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(8) a) Milli Savunma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Jandarma Genel Komutanl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Sahil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venlik Komutanl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Emniyet Genel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elerinin (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zel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denekler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“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03.9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Tedavi ve Cenaze Giderleri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”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ekonomik kodunu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eren tertipler hari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) mal ve hizmet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 giderleri ile ilgili tertiplerinde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deneklerden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inde harcanmayan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hizmetin devaml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sa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lamak amac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yla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deneklerinin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zde 30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unu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mamak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zere ertesi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esine devren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kaydetmeye,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b)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12/3/1982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2634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Turizmi 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vik Kanununun 21 inci maddesinin ikinci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gere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ince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 ve Turizm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21.01.36.00 ve 21.01.36.63 kurumsal kodu alt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bulunan (03) ekonomik kodunu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eren tertiplerinde yer alan tan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tma ama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deneklerden harcanmayan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ertesi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ayn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tertiplerine devren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kaydetmeye,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c)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rkiye Bilimsel ve Teknolojik Ara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rma Kurumu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40.08.33.00-01.4.1.00-2-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07.1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tertibinde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denekten harcanmayan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ertesi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ayn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tertibine devren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kaydetmeye,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) Bilim, Sanayi ve Teknoloji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26.01.31.00-04.8.1.02-1-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07.1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26.01.31.00-04.8.1.04-1-08.1, 26.01.31.00-04.8.1.05-1-05.4 ve 26.01.31.00-04.8.1.06-1-05.4 tertiplerinde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deneklerden harcanmayan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ertesi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ayn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tertiplerine devren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kaydetmeye,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d) Hazine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07.82.32.00-04.1.1.00-1-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07.2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07.82.32.00-04.1.1.00-1-05.6 ve 07.82.32.00-01.2.1.00-1-08.2 tertiplerinde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deneklerden harcanmayan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ertesi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ayn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tertiplerine devren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kaydetmeye,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e) Emniyet Genel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“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03.1.1.01 Emniyet Genel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venlik Hizmetleri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ı”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fonksiyonu alt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yer alan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deneklerinden harcanmayan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ertesi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ayn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tertibine devren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kaydetmeye,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f)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lgili mevzuat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gere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ince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zel gelir kaydedilmek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zere tahsil edilen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idare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elerinde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konusu mevzuatta belirtilen ama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lar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in tertiplenen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denekten kulland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rmak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zere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enin (B)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aretli cetveline gelir kaydetmeye ve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elenen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denekten gelir ger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mesine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 ilgili tertiplere aktarma yapmaya,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inde harcanmayan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 (2012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ndan devredenler de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hil) ertesi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esine devren gelir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kaydetmeye, bu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mler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evesinde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lacak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lemlere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kin usul ve esaslar belirlemeye,</w:t>
      </w:r>
      <w:proofErr w:type="gramEnd"/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Di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er b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e 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lemleri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7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retim Kurulu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38.01.02.00-09.9.9.00-2-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05.3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yesi Yeti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tirme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) tertibinde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denek, bu Program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lisans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itim veren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na, mal ve hizmet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kullan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lmak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zere,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revlendirilen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rencilerin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renim alanlar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dikkate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narak tahakkuk ettirilmek suretiyle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denir.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denen bu tutar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bir yandan ilgili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retim kurumunun (B)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aretli cetveline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gelir,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yandan (A)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aretli cetveline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kaydetmeye ilgili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retim kurumu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4/11/1981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2547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retim Kanununun 43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maddesinin birinci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(d) bendi, 44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46 </w:t>
      </w:r>
      <w:proofErr w:type="spellStart"/>
      <w:r w:rsidRPr="00127EDF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proofErr w:type="spell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58 inci, ek 25 inci, ek 26 </w:t>
      </w:r>
      <w:proofErr w:type="spellStart"/>
      <w:r w:rsidRPr="00127EDF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proofErr w:type="spell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ek 27 </w:t>
      </w:r>
      <w:proofErr w:type="spellStart"/>
      <w:r w:rsidRPr="00127EDF">
        <w:rPr>
          <w:rFonts w:ascii="Times New Roman" w:eastAsia="ヒラギノ明朝 Pro W3" w:hAnsi="Times" w:cs="Times New Roman"/>
          <w:sz w:val="18"/>
          <w:szCs w:val="18"/>
        </w:rPr>
        <w:t>nci</w:t>
      </w:r>
      <w:proofErr w:type="spell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maddeleri ile 19/11/1992 tarihli ve 3843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Kanunun 7 </w:t>
      </w:r>
      <w:proofErr w:type="spellStart"/>
      <w:r w:rsidRPr="00127EDF">
        <w:rPr>
          <w:rFonts w:ascii="Times New Roman" w:eastAsia="ヒラギノ明朝 Pro W3" w:hAnsi="Times" w:cs="Times New Roman"/>
          <w:sz w:val="18"/>
          <w:szCs w:val="18"/>
        </w:rPr>
        <w:t>nci</w:t>
      </w:r>
      <w:proofErr w:type="spell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maddesi uyar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nca tahsil edilen tutarlar ve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gelirler,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elerine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zel gelir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zel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olarak kaydedilmez. Tahsil edilen bu tutar ve gelirler, ilgili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retim kurumu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gelir olarak kaydedilir. Kaydedilen bu tutarlar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olarak ilgili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retim kurumu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esine konulan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denekler, gelir ger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melerine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 kulland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gelir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olarak ilgili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retim kurumu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 (A)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aretli cetvelinde fonksiyonel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fland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rman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zeyinde tertiplenen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 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(09.6.0-E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itime yard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hizmetler fonksiyonu alt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gelir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tefrik edilen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 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lacak aktarmalar hari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) aktarma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lamaz.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(4) 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;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a) Milli Savunma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Jandarma Genel Komutanl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Sahil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venlik Komutanl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nca yabanc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lkelere ve uluslararas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kurulu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lara kiraya verilen veya bir hizmetin yerine getirilmesinde kullan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 kara, deniz ve hava ta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ndan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nan kira veya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cret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b)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Silahl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Kuvvetlerinin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renim ve 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itim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esseselerinde okutulan ve 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itim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ren yabanc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uyruklu subay, astsubay veya erlere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 giderler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 ilgili devletlerce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denen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c) Emniyet Genel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renim ve 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itim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esseselerinde okutulan ve 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itim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ren yabanc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uyruklu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renci ve personele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 giderler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ilgili devletler veya uluslararas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kurulu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lar taraf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denen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) NATO makamlar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nca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 anla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ma gere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ince yedek havaalanlar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bak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ve onar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denecek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ayn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ama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 kullan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lmak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zere bir yandan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eye gelir,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yandan yukar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da yaz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idare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elerinde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lacak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zel tertiplere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denek kaydetmeye ve bu suretle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kaydedilen tutarlardan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inde harcanmayan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ertesi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 devretmeye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Mali kontrole ili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kin h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mler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8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5018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Kanuna ekli (I) ve (II)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cetvellerde yer alan kamu idareleri;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lastRenderedPageBreak/>
        <w:t>a) 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zi nitelikteki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leriyle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kalmak ko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uluyla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inde bir 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mayan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relerle hizmet sat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nacak veya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lacak ki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ilere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lacak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demeleri,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b)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lgili mevzuat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uyar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nca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smi zamanl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hizmet sat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nan ki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ilere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lacak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demeleri,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c)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5/6/1986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3308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Mesleki 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itim Kanununun 25 inci maddesi gere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ince aday,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rak ve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letmelerde meslek 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itimi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rencilere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lacak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demeleri,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14/7/1965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657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Devlet Memurlar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Kanununun 4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maddesinin (C)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gere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ince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 ge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ici personele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lacak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demeleri,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elerinin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(01.4) ekonomik kodunda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mayacak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ekilde yaparlar ve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konusu ekonomik kodunu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eren tertiplere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eklenemez,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elerin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ka tertiplerinden (bu ekonomik kodu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eren tertiplerin kendi 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ndaki aktarmalar ile bu Kanunun 6 </w:t>
      </w:r>
      <w:proofErr w:type="spellStart"/>
      <w:r w:rsidRPr="00127EDF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proofErr w:type="spell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maddesinin birinci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(b) bendi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 aktarmalar hari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aktar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lamaz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denek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harcama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lamaz. Ancak,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tirme uygulamalar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nedeniyle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akitleri feshedilenlerden 657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Kanunun 4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maddesinin (C)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evesinde 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 kamu idarelerinde istihdam edilecek personel ile bu ekonomik kodu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eren tertiplerden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gereken akademik j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creti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demeleri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gerekli olan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ilgili tertiplere aktarmaya 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(2) Bu Kanuna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(T)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aretli cetvelde yer alan ta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tlar, ancak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ok acil ve zorunlu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llere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nhas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 olmak kayd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yla ilgili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teklifi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zerine Bakanlar Kurulu karar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edinilebilir.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(3) 5018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Kanuna ekli (I) ve (II)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cetvellerde yer alan kamu idareleri,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rekli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ileri ile 4/4/2007 tarihli ve 5620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Kanuna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racaklar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ge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ici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ileri,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elerinin (01.3) ile (02.3) ekonomik kodlar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eren tertiplerde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denekleri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mayacak 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 ve/veya 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reyle  istihdam  edebilirler. 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Bu 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ilerle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 ilgili  toplu 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melerinden do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acak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kler, ihbar ve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 tazminat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demeleri, asgari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cret ve sigorta prim art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nedeniyle meydana gelecek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noksanl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Maliye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“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Personel Giderlerini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lama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”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“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Yedek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”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tertiplerinde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deneklerden aktarma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lmak suretiyle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lanabilir. Bu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krada belirtilen ekonomik kodlara bu durumlar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(s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konusu ekonomik kodlar 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aktarmalar ile bu kodlar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birimler 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aktarmalar hari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) hi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bir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ekilde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aktarmas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lamayaca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gibi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enin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ka tertiplerinden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creti ve fazla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reli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ma ve/veya fazla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creti de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denemez. Bu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kradaki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aktarmas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kin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tlamalar, kendi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tertiplerinden aktarma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ko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uluyla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TAK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uygulanmaz.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(4) 5018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Kanuna ekli (I) ve (II)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cetvellerde yer alan kamu idarelerinin harcama yetkilileri,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rekli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iler ile 5620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Kanuna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racaklar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ge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ici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ilerin fazla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programlar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yapmak, bu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acak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ekilde fazla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reli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ma ve/veya fazla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ma yapt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rmamak ve ertesi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 fazla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reli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ma ve/veya fazla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madan dolay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bor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rakt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rmamakla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rler. Deprem, yang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n, su bask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yer kaymas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kaya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mesi,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çığ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benzeri afetler nedeniyle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konulacak Bakanlar Kurulu kararlar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uyar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nca yapt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lacak fazla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malar ile fazla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cret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demelerine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kin ilama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bor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lar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lacak aktarmalar hari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fazla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reli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ma ve/veya fazla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cret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demeleri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hi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bir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ekilde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aktarmas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lamaz.</w:t>
      </w:r>
      <w:proofErr w:type="gramEnd"/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(5)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ndaki kamu idareleri ile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 taraf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ndan kanun, kararname ve uluslararas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anla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malar gere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ye olunan uluslararas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kurulu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lar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uluslararas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kurulu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lara, gerekli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temini hususunda Maliye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uygun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nmadan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ye olunamaz ve kat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 pay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yelik aidat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alt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 herhangi bir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lamaz.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(6) Ekonomi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Hazine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uluslararas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anla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ma, kanun ve kararnamelerle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rkiye Cumhuriyeti ad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ye oldu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u uluslararas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kurulu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lara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kin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lemlerine (kat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 pay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demeleri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hil) be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uygulanmaz.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(7) Merkezi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netim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kamu idarelerince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letilen 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itim ve dinlenme tesisi, misafirhane,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ocuk bak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mevi, kre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spor tesisi ve benzeri sosyal tesislerin giderleri,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nhas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ran bu tesislerin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letilmesinden elde edilen gelirlerden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r. Bu yerlerde, merkezi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netim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 ile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ner sermaye ve fonlardan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cret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denmek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zere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ilk defa istihdam edilecek yeni personel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revlendirilmez.</w:t>
      </w:r>
    </w:p>
    <w:p w:rsidR="00D9143A" w:rsidRPr="00127EDF" w:rsidRDefault="00D9143A" w:rsidP="00127EDF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ÜÇÜ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D9143A" w:rsidRPr="00127EDF" w:rsidRDefault="00D9143A" w:rsidP="00127EDF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Yat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 Harcamalar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, Mahalli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dareler ve Fonlara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kin H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mler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Yat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 harcamalar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9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ek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cetvellerinde yer alan projeler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herhangi bir projeye harcama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lamaz. Bu cetvellerde yer alan projeler ile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 toplu olarak verilmi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projeler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llara sari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lere (kurulu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c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500 MW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zerinde olan baraj ve HES projeleri, Gebze-Haydarpa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a, Sirkeci-Halkal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Banliy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Hatt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yile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tirilmesi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ve  Demiryolu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Bo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az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p Ge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 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Projesi, Ula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rma, Denizcilik ve Haberle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me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nca ger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tirilecek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ehir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 rayl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ula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sistemleri ve metro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projeleri ile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demiryolu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projeleri hari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)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lanabilmesi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proje veya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i, proje maliyetinin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zde 10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undan az olamaz. Bu oran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alt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kalan proje ve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ler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gerekti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inde projeler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Uygulanmas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Koordinasyonu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zlenmesine Dair Karar esaslar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na uyulmak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ncelikle kurumlar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inde kalmak suretiyle revize edilebilir.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(2) Merkezi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netim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kamu idarelerinin,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 toplu olarak verilmi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 projelerinden makine-te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hizat,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 onar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m, idame-yenileme, tamamlama ile bilgisayar yaz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donan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projelerinin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lastRenderedPageBreak/>
        <w:t>detay programlar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alt harcama kalemleri itibar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yla tadat edilen ve edilmeyen toplula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projelerinin alt harcama kalemleriyle ilgili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lemlerde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Uygulanmas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Koordinasyonu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zlenmesine Dair Karar esaslar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uygulan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r.</w:t>
      </w:r>
      <w:proofErr w:type="gramEnd"/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(3) Merkezi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netim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kamu idarelerinin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elerine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projeleri ile ilgili olarak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lacak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ekleme, devir ve aktarma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lemleri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Uygulanmas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Koordinasyonu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zlenmesine Dair Kararda yer alan usul ve esaslara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kilendirilir.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(4)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ek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cetvellerinde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inde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zorunlu de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iklikler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Uygulanmas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Koordinasyonu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zlenmesine Dair Kararda yer alan usullere uyulur.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Mahalli idarelere yap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lacak Hazine yard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10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Maliye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esinin;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a) 12.01.31.00-06.1.0.07-1-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05.2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tertibinde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denek, 13/1/2005 tarihli ve 5286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Kanunun ge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ici 7 </w:t>
      </w:r>
      <w:proofErr w:type="spellStart"/>
      <w:r w:rsidRPr="00127EDF">
        <w:rPr>
          <w:rFonts w:ascii="Times New Roman" w:eastAsia="ヒラギノ明朝 Pro W3" w:hAnsi="Times" w:cs="Times New Roman"/>
          <w:sz w:val="18"/>
          <w:szCs w:val="18"/>
        </w:rPr>
        <w:t>nci</w:t>
      </w:r>
      <w:proofErr w:type="spell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maddesi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evesinde, il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idarelerine veya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ehir belediyelerine devredilen personelin ayl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 ve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her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mali ve sosyal haklar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kin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demelerini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lamak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zere 2/7/2008 tarihli ve 5779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zel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darelerine ve Belediyelere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Vergi Gelirlerinden Pay Verilmesi Hakk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Kanunun ge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ici 1 inci maddesi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evesinde il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idarelerine veya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ehir belediyelerine,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b) 12.01.31.00-06.1.0.08-1-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07.1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tertibinde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denek,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ylerin Altyap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Desteklenmesi Projesi (K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YDES)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ylerin altyap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ihtiya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in il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idareleri ve/veya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ylere hizmet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rme birliklerine,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c) 12.01.31.00-06.1.0.9-1-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07.1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tertibinde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denek, Su Kanalizasyon ve Altyap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Projesi (SUKAP)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belediyelerin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me suyu ve </w:t>
      </w:r>
      <w:proofErr w:type="spellStart"/>
      <w:r w:rsidRPr="00127EDF">
        <w:rPr>
          <w:rFonts w:ascii="Times New Roman" w:eastAsia="ヒラギノ明朝 Pro W3" w:hAnsi="Times" w:cs="Times New Roman"/>
          <w:sz w:val="18"/>
          <w:szCs w:val="18"/>
        </w:rPr>
        <w:t>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ksu</w:t>
      </w:r>
      <w:proofErr w:type="spell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projelerini ger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tirmek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zere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ller Bankas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Anonim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irketine,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tahakkuk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ettirilmek suretiyle kulland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r. SUKAP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ihtiya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linde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ilgili kamu idaresi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esine veya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aktar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labilir. Bu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ilgili idarelere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 Hazine yard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haczedilemez ve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zerine ihtiyati tedbir konulamaz.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(2) Birinci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(b) ve (c) bentlerinde yer alan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deneklerin,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belirlenmesini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teakip,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YDES Projesi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iller baz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nda; SUKAP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ise belediyeler baz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da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kulland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izlenmesi ve denetimine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kin usul ve esaslar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ksek Planlama Kurulu taraf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ndan karara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Fonlara ili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kin 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lemler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11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 Silahl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Kuvvetlerine stratejik hedef plan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uyar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nca temini gerekli modern silah, ara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gere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ler ile ger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tirilecek savunma ve NATO altyap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inde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lacak harcamalar,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7/11/1985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3238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Kanunla kurulan Savunma Sanayii Destekleme Fonunun kaynaklar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bu ama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eye konulan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 ve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ayni ve nakdi imk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nlar birlikte de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erlendirilmek suretiyle Savunma Sanayii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cra Komitesince tespit edilecek esaslar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evesinde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(2) Milli Savunma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Jandarma Genel Komutanl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Sahil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venlik Komutanl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 ile tahsis edilen mevcut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deneklerden birinci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mleri gere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ince tespit edilecek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; Emniyet Genel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 ile tahsis edilen mevcut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deneklerden 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ak ve helikopter, insans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hava ara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HA), 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sim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Elektronik Harp (HEWS) projesine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kin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;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rkiye Hudut ve Sahiller Sa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 Genel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 ile tahsis edilen mevcut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 ile bu Genel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esine kaydedilen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deneklerden motorbot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nelik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; Orman Genel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 ile tahsis edilen mevcut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deneklerden Helikopter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Projesine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kin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; Maden Tetkik ve Arama Genel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 ile tahsis edilen mevcut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deneklerden ara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rma gemisi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nelik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; ilgili hizmetleri ger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tirmek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zere Savunma Sanayii Destekleme Fonuna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demeye ilgisine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 Milli Savunma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leri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Sa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Orman ve Su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leri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veya Enerji ve Tabii Kaynaklar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(3) Savunma Sanayii Destekleme Fonundan Hazineye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lacak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bir yandan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eye gelir,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yandan Milli Savunma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esinin ilgili tertiplerine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kaydetmeye ve ge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llar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bakiyelerini devretmeye 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(4)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lgili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llar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kanunlar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uyar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nca,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lmesi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len projeler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Savunma Sanayii Destekleme Fonuna aktar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 tutarlardan kullan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lmayan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mlar, Savunma Sanayii Destekleme Fonundan ilgili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idarenin merkez muhasebe birimi hesab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na;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idarelerde ise muhasebe birimi hesab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 ve ilgili idarenin (B)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aretli cetveline gelir kaydedilir. Gelir kaydedilen tutarlar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ilgili idare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kaydetmeye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idarelerde 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eli idarelerde ise ilgili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 yetkilidir. Milli Savunma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Jandarma Genel Komutanl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Sahil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venlik Komutanl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ndaki idarelerde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 program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kilendirilerek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9143A" w:rsidRPr="00127EDF" w:rsidRDefault="00D9143A" w:rsidP="00127EDF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D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RD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D9143A" w:rsidRPr="00127EDF" w:rsidRDefault="00D9143A" w:rsidP="00127EDF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e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itli H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mler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Hazine garantili imk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n ve d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 borcun ikraz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 limiti ve bor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lanmaya ili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kin 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lemler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12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2013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nda,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28/3/2002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4749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Kamu Finansman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Bor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netiminin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zenlenmesi Hakk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Kanuna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 sa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lanacak; garantili imk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ve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borcun ikraz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limiti 3 milyar ABD Dolar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amaz.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(2) 1 inci maddenin birinci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(a) bendi ile belirlenen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deneklerinin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zde </w:t>
      </w:r>
      <w:proofErr w:type="spellStart"/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ine</w:t>
      </w:r>
      <w:proofErr w:type="spell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kadar </w:t>
      </w:r>
      <w:proofErr w:type="spellStart"/>
      <w:r w:rsidRPr="00127EDF">
        <w:rPr>
          <w:rFonts w:ascii="Times New Roman" w:eastAsia="ヒラギノ明朝 Pro W3" w:hAnsi="Times" w:cs="Times New Roman"/>
          <w:sz w:val="18"/>
          <w:szCs w:val="18"/>
        </w:rPr>
        <w:t>ikrazen</w:t>
      </w:r>
      <w:proofErr w:type="spell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tertip Devlet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bor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lanma senedi ihra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edilebilir.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lastRenderedPageBreak/>
        <w:t>Gelir ve giderlere ili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kin di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er h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mler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13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22/2/2005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5302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zel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daresi Kanununun 51 inci maddesinin birinci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(f) bendi ile 3/7/2005 tarihli ve 5393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Belediye Kanununun 68 inci maddesinin birinci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(f) bendi uyar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nca il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idareleri ve belediyelerin ileri teknoloji ve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 tutarda maddi kaynak gerektiren altyap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Kalk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nma Bakanl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teklifi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zerine Bakanlar Kurulunca kabul edilen projeleri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lacak bor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lanmalar, 5302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Kanunun 51 inci maddesinin birinci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(d) bendi ile 5393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Kanunun 68 inci maddesinin birinci 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(d) bendi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hesaplanan faiz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hil bor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limitinin hesaplanmas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hil edilir.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Ancak, il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idareleri, belediyeler ve bunlar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kurulu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sermayesinin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zde 50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sinden fazlas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sahip olduklar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irketler taraf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ndan Avrupa Birli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 ile kat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m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ncesi mali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birli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evesinde desteklenen projelerinin finansman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in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 bor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lanmalar ve SUKAP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lecek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ler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ller Bankas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ndan yap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 bor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lanmalarda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konusu bor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stoku limitine uyma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aranmaz.</w:t>
      </w:r>
      <w:proofErr w:type="gramEnd"/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(2) Hazinenin pay sahibi oldu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u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letme,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irket ve bankalar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Hazineye tekab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eden temett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er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kaynaklar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tamam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veya bir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ilgili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letme,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irket ve bankan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denmemi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sermayesine ve/veya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rev zarar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alacaklar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mahsup edilebilir.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konusu mahsup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lemlerine Hazine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oldu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u Bakan; mahsup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lemlerini Hazine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teklifi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zerine mahiyetlerine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 ilgili Devlet hesaplar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kaydettirmeye ve bu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lemlere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 gelen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bir yandan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eye gelir,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yandan da Hazine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esinin ilgili tertibine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kaydetmeye 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(3)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rkiye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hracat Kredi Bankas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Anonim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irketinin politik risk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yapaca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tahsilat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ve Bankan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faaliyet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ndan Hazineye tekab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 eden temett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ve ola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yedek ak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elerinin tamam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veya bir 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 Bankan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politik risk alaca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na ve/veya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denmemi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sermayesine mahsup edilebilir. S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 konusu mahsup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lemlerine Hazine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oldu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u Bakan; mahsup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lemlerini Hazine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teklifi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zerine mahiyetlerine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 ilgili Devlet hesaplar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kaydettirmeye ve bu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lemlere kar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 gelen tutarlar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bir yandan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eye gelir,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yandan da Hazine 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ste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arl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esinin ilgili tertibine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denek kaydetmeye 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yetkilidir.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(4) 2006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nce katma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olan idarelerden 5018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Kanunla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 al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nanlar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ilgili mevzuat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belirtilen kurum gelirleri,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geliri olarak tahsil edilir.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(5)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4/12/1984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tarihli ve 3096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rkiye Elektrik Kurumu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Kurulu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n Elektrik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retimi,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letimi, Da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 Ticareti ile G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revlendirilmesi Hakk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 Kanun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tabii kaynaklar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ve tesislerin 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letme haklar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 devrinden elde edilen gelirlerin tamam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eye gelir kaydedilir.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k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14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Bu Kanun </w:t>
      </w: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1/1/2013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tarihinde 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girer.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tme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15 </w:t>
      </w:r>
      <w:r w:rsidRPr="00127ED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(1) Bu Kanunun;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a)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rkiye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 Millet Meclisi ile ilgili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mlerini 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rkiye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 Millet Meclisi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b) Cumhurba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ilgili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mlerini Cumhurba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Genel Sekreteri,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c)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tay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ile ilgili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mlerini Say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tay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) Genel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 kapsam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ndaki kamu idareleri ile ilgili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mlerini ilgili bakanlar ve 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d) 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zel b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eli idarelere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kin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mlerini idarelerin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veya ilgili oldu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u bakanlar ve 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e) D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zenleyici ve denetleyici kurumlara ili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kin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mlerini kendi kurullar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 xml:space="preserve"> ve/veya kurum ba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kanlar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127EDF">
        <w:rPr>
          <w:rFonts w:ascii="Times New Roman" w:eastAsia="ヒラギノ明朝 Pro W3" w:hAnsi="Times" w:cs="Times New Roman"/>
          <w:sz w:val="18"/>
          <w:szCs w:val="18"/>
        </w:rPr>
        <w:t>f) Di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er h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mlerini Maliye Bakan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127EDF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127EDF">
        <w:rPr>
          <w:rFonts w:ascii="Times New Roman" w:eastAsia="ヒラギノ明朝 Pro W3" w:hAnsi="Times" w:cs="Times New Roman"/>
          <w:sz w:val="18"/>
          <w:szCs w:val="18"/>
        </w:rPr>
        <w:t>r</w:t>
      </w:r>
      <w:proofErr w:type="gramEnd"/>
      <w:r w:rsidRPr="00127EDF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D9143A" w:rsidRPr="00127EDF" w:rsidRDefault="00D9143A" w:rsidP="00127ED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D9143A" w:rsidRPr="00127EDF" w:rsidRDefault="00D9143A" w:rsidP="00127EDF">
      <w:pPr>
        <w:tabs>
          <w:tab w:val="left" w:pos="240"/>
        </w:tabs>
        <w:spacing w:after="0" w:line="240" w:lineRule="exact"/>
        <w:rPr>
          <w:rFonts w:ascii="Times" w:eastAsia="Times" w:hAnsi="Times" w:cs="Times New Roman"/>
          <w:sz w:val="18"/>
          <w:szCs w:val="18"/>
          <w:lang w:eastAsia="tr-TR"/>
        </w:rPr>
      </w:pPr>
    </w:p>
    <w:p w:rsidR="00D9143A" w:rsidRPr="00127EDF" w:rsidRDefault="00D9143A" w:rsidP="00127E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80"/>
          <w:sz w:val="24"/>
          <w:szCs w:val="24"/>
          <w:lang w:eastAsia="tr-TR"/>
        </w:rPr>
      </w:pPr>
    </w:p>
    <w:p w:rsidR="00484325" w:rsidRDefault="008052E9" w:rsidP="00127EDF"/>
    <w:sectPr w:rsidR="0048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DF"/>
    <w:rsid w:val="00127EDF"/>
    <w:rsid w:val="00200640"/>
    <w:rsid w:val="008052E9"/>
    <w:rsid w:val="00871D60"/>
    <w:rsid w:val="00BF535B"/>
    <w:rsid w:val="00CE50B2"/>
    <w:rsid w:val="00D272FF"/>
    <w:rsid w:val="00D824F6"/>
    <w:rsid w:val="00D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27E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27ED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27EDF"/>
  </w:style>
  <w:style w:type="character" w:styleId="Kpr">
    <w:name w:val="Hyperlink"/>
    <w:basedOn w:val="VarsaylanParagrafYazTipi"/>
    <w:uiPriority w:val="99"/>
    <w:semiHidden/>
    <w:unhideWhenUsed/>
    <w:rsid w:val="00127E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27ED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27EDF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27EDF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127E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27EDF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">
    <w:name w:val="2-Orta Baslık"/>
    <w:next w:val="Normal"/>
    <w:rsid w:val="00127ED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127ED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127EDF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27E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27ED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27EDF"/>
  </w:style>
  <w:style w:type="character" w:styleId="Kpr">
    <w:name w:val="Hyperlink"/>
    <w:basedOn w:val="VarsaylanParagrafYazTipi"/>
    <w:uiPriority w:val="99"/>
    <w:semiHidden/>
    <w:unhideWhenUsed/>
    <w:rsid w:val="00127E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27ED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27EDF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27EDF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127E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27EDF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">
    <w:name w:val="2-Orta Baslık"/>
    <w:next w:val="Normal"/>
    <w:rsid w:val="00127ED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127ED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127EDF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4048</Words>
  <Characters>25549</Characters>
  <Application>Microsoft Office Word</Application>
  <DocSecurity>0</DocSecurity>
  <Lines>1216</Lines>
  <Paragraphs>379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AKBUDAK</dc:creator>
  <cp:lastModifiedBy>Kübra ŞEN</cp:lastModifiedBy>
  <cp:revision>1</cp:revision>
  <dcterms:created xsi:type="dcterms:W3CDTF">2013-01-02T13:16:00Z</dcterms:created>
  <dcterms:modified xsi:type="dcterms:W3CDTF">2019-02-15T11:57:00Z</dcterms:modified>
</cp:coreProperties>
</file>