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EB6" w:rsidRPr="00585E68" w:rsidRDefault="003C6EB6" w:rsidP="008E6992">
      <w:pPr>
        <w:tabs>
          <w:tab w:val="left" w:pos="567"/>
        </w:tabs>
        <w:spacing w:after="120" w:line="240" w:lineRule="auto"/>
        <w:jc w:val="center"/>
        <w:rPr>
          <w:rFonts w:ascii="Arial" w:hAnsi="Arial" w:cs="Arial"/>
          <w:b/>
          <w:sz w:val="24"/>
          <w:szCs w:val="24"/>
        </w:rPr>
      </w:pPr>
      <w:r w:rsidRPr="00585E68">
        <w:rPr>
          <w:rFonts w:ascii="Arial" w:hAnsi="Arial" w:cs="Arial"/>
          <w:b/>
          <w:sz w:val="24"/>
          <w:szCs w:val="24"/>
        </w:rPr>
        <w:t>ORTA VADELİ PROGRAM</w:t>
      </w:r>
    </w:p>
    <w:p w:rsidR="003C6EB6" w:rsidRPr="00585E68" w:rsidRDefault="00120EAD" w:rsidP="008E6992">
      <w:pPr>
        <w:tabs>
          <w:tab w:val="left" w:pos="567"/>
        </w:tabs>
        <w:spacing w:after="120" w:line="240" w:lineRule="auto"/>
        <w:jc w:val="center"/>
        <w:rPr>
          <w:rFonts w:ascii="Arial" w:hAnsi="Arial" w:cs="Arial"/>
          <w:b/>
          <w:sz w:val="24"/>
          <w:szCs w:val="24"/>
        </w:rPr>
      </w:pPr>
      <w:r w:rsidRPr="00585E68">
        <w:rPr>
          <w:rFonts w:ascii="Arial" w:hAnsi="Arial" w:cs="Arial"/>
          <w:b/>
          <w:sz w:val="24"/>
          <w:szCs w:val="24"/>
        </w:rPr>
        <w:t>(2015-2017</w:t>
      </w:r>
      <w:r w:rsidR="003C6EB6" w:rsidRPr="00585E68">
        <w:rPr>
          <w:rFonts w:ascii="Arial" w:hAnsi="Arial" w:cs="Arial"/>
          <w:b/>
          <w:sz w:val="24"/>
          <w:szCs w:val="24"/>
        </w:rPr>
        <w:t xml:space="preserve">) </w:t>
      </w:r>
    </w:p>
    <w:p w:rsidR="003C6EB6" w:rsidRPr="00585E68" w:rsidRDefault="003C6EB6" w:rsidP="008E6992">
      <w:pPr>
        <w:tabs>
          <w:tab w:val="left" w:pos="567"/>
        </w:tabs>
        <w:spacing w:after="120" w:line="240" w:lineRule="auto"/>
        <w:jc w:val="center"/>
        <w:rPr>
          <w:rFonts w:ascii="Arial" w:hAnsi="Arial" w:cs="Arial"/>
          <w:b/>
          <w:sz w:val="24"/>
          <w:szCs w:val="24"/>
        </w:rPr>
      </w:pPr>
    </w:p>
    <w:p w:rsidR="003C6EB6" w:rsidRPr="00585E68" w:rsidRDefault="008E6992" w:rsidP="0010769B">
      <w:pPr>
        <w:tabs>
          <w:tab w:val="left" w:pos="567"/>
        </w:tabs>
        <w:spacing w:after="120" w:line="240" w:lineRule="auto"/>
        <w:rPr>
          <w:rFonts w:ascii="Arial" w:hAnsi="Arial" w:cs="Arial"/>
          <w:b/>
          <w:sz w:val="24"/>
          <w:szCs w:val="24"/>
        </w:rPr>
      </w:pPr>
      <w:r>
        <w:rPr>
          <w:rFonts w:ascii="Arial" w:hAnsi="Arial" w:cs="Arial"/>
          <w:b/>
          <w:sz w:val="24"/>
          <w:szCs w:val="24"/>
        </w:rPr>
        <w:tab/>
      </w:r>
      <w:r w:rsidR="003C6EB6" w:rsidRPr="00585E68">
        <w:rPr>
          <w:rFonts w:ascii="Arial" w:hAnsi="Arial" w:cs="Arial"/>
          <w:b/>
          <w:sz w:val="24"/>
          <w:szCs w:val="24"/>
        </w:rPr>
        <w:t>GİRİŞ</w:t>
      </w:r>
    </w:p>
    <w:p w:rsidR="005654FE" w:rsidRPr="00585E68" w:rsidRDefault="00A75BCC"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lang w:val="tr-TR"/>
        </w:rPr>
        <w:t xml:space="preserve">Bütçe sürecini başlatan ve 2015-2017 dönemini kapsayan </w:t>
      </w:r>
      <w:r w:rsidR="005654FE" w:rsidRPr="00585E68">
        <w:rPr>
          <w:rFonts w:ascii="Arial" w:hAnsi="Arial" w:cs="Arial"/>
          <w:sz w:val="24"/>
          <w:szCs w:val="24"/>
        </w:rPr>
        <w:t xml:space="preserve">Orta Vadeli Program  </w:t>
      </w:r>
      <w:r w:rsidRPr="00585E68">
        <w:rPr>
          <w:rFonts w:ascii="Arial" w:hAnsi="Arial" w:cs="Arial"/>
          <w:sz w:val="24"/>
          <w:szCs w:val="24"/>
          <w:lang w:val="tr-TR"/>
        </w:rPr>
        <w:t>(OVP)</w:t>
      </w:r>
      <w:r w:rsidR="00DB3CE5" w:rsidRPr="00585E68">
        <w:rPr>
          <w:rFonts w:ascii="Arial" w:hAnsi="Arial" w:cs="Arial"/>
          <w:sz w:val="24"/>
          <w:szCs w:val="24"/>
          <w:lang w:val="tr-TR"/>
        </w:rPr>
        <w:t>,</w:t>
      </w:r>
      <w:r w:rsidRPr="00585E68">
        <w:rPr>
          <w:rFonts w:ascii="Arial" w:hAnsi="Arial" w:cs="Arial"/>
          <w:sz w:val="24"/>
          <w:szCs w:val="24"/>
          <w:lang w:val="tr-TR"/>
        </w:rPr>
        <w:t xml:space="preserve"> </w:t>
      </w:r>
      <w:r w:rsidR="005654FE" w:rsidRPr="00585E68">
        <w:rPr>
          <w:rFonts w:ascii="Arial" w:hAnsi="Arial" w:cs="Arial"/>
          <w:sz w:val="24"/>
          <w:szCs w:val="24"/>
        </w:rPr>
        <w:t>Türkiye ekonomisinin daha rekabetçi ve yenilikçi bir zeminde</w:t>
      </w:r>
      <w:r w:rsidR="00E65E0E" w:rsidRPr="00585E68">
        <w:rPr>
          <w:rFonts w:ascii="Arial" w:hAnsi="Arial" w:cs="Arial"/>
          <w:sz w:val="24"/>
          <w:szCs w:val="24"/>
          <w:lang w:val="tr-TR"/>
        </w:rPr>
        <w:t>,</w:t>
      </w:r>
      <w:r w:rsidR="005654FE" w:rsidRPr="00585E68">
        <w:rPr>
          <w:rFonts w:ascii="Arial" w:hAnsi="Arial" w:cs="Arial"/>
          <w:sz w:val="24"/>
          <w:szCs w:val="24"/>
        </w:rPr>
        <w:t xml:space="preserve"> 2023 hedeflerine ulaşma</w:t>
      </w:r>
      <w:r w:rsidR="00E65E0E" w:rsidRPr="00585E68">
        <w:rPr>
          <w:rFonts w:ascii="Arial" w:hAnsi="Arial" w:cs="Arial"/>
          <w:sz w:val="24"/>
          <w:szCs w:val="24"/>
          <w:lang w:val="tr-TR"/>
        </w:rPr>
        <w:t xml:space="preserve">k için gerekli atılımı gerçekleştirmek üzere </w:t>
      </w:r>
      <w:r w:rsidR="005654FE" w:rsidRPr="00585E68">
        <w:rPr>
          <w:rFonts w:ascii="Arial" w:hAnsi="Arial" w:cs="Arial"/>
          <w:sz w:val="24"/>
          <w:szCs w:val="24"/>
        </w:rPr>
        <w:t xml:space="preserve">tasarlanmıştır. </w:t>
      </w:r>
    </w:p>
    <w:p w:rsidR="00BF542F" w:rsidRPr="00585E68" w:rsidRDefault="00E65E0E"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lang w:val="tr-TR"/>
        </w:rPr>
        <w:t>B</w:t>
      </w:r>
      <w:proofErr w:type="spellStart"/>
      <w:r w:rsidR="00BF542F" w:rsidRPr="00585E68">
        <w:rPr>
          <w:rFonts w:ascii="Arial" w:hAnsi="Arial" w:cs="Arial"/>
          <w:sz w:val="24"/>
          <w:szCs w:val="24"/>
        </w:rPr>
        <w:t>üyüme</w:t>
      </w:r>
      <w:proofErr w:type="spellEnd"/>
      <w:r w:rsidR="00BF542F" w:rsidRPr="00585E68">
        <w:rPr>
          <w:rFonts w:ascii="Arial" w:hAnsi="Arial" w:cs="Arial"/>
          <w:sz w:val="24"/>
          <w:szCs w:val="24"/>
        </w:rPr>
        <w:t xml:space="preserve"> </w:t>
      </w:r>
      <w:r w:rsidR="00BF542F" w:rsidRPr="00585E68">
        <w:rPr>
          <w:rFonts w:ascii="Arial" w:hAnsi="Arial" w:cs="Arial"/>
          <w:sz w:val="24"/>
          <w:szCs w:val="24"/>
          <w:lang w:val="tr-TR"/>
        </w:rPr>
        <w:t xml:space="preserve">performansını yükseltirken </w:t>
      </w:r>
      <w:r w:rsidR="00BF542F" w:rsidRPr="00585E68">
        <w:rPr>
          <w:rFonts w:ascii="Arial" w:hAnsi="Arial" w:cs="Arial"/>
          <w:sz w:val="24"/>
          <w:szCs w:val="24"/>
        </w:rPr>
        <w:t xml:space="preserve">cari işlemler açığını </w:t>
      </w:r>
      <w:r w:rsidR="00BF542F" w:rsidRPr="00585E68">
        <w:rPr>
          <w:rFonts w:ascii="Arial" w:hAnsi="Arial" w:cs="Arial"/>
          <w:sz w:val="24"/>
          <w:szCs w:val="24"/>
          <w:lang w:val="tr-TR"/>
        </w:rPr>
        <w:t>düşürmeye devam etmek</w:t>
      </w:r>
      <w:r w:rsidR="00BF542F" w:rsidRPr="00585E68">
        <w:rPr>
          <w:rFonts w:ascii="Arial" w:hAnsi="Arial" w:cs="Arial"/>
          <w:sz w:val="24"/>
          <w:szCs w:val="24"/>
        </w:rPr>
        <w:t>, enflasyon</w:t>
      </w:r>
      <w:r w:rsidR="00BF542F" w:rsidRPr="00585E68">
        <w:rPr>
          <w:rFonts w:ascii="Arial" w:hAnsi="Arial" w:cs="Arial"/>
          <w:sz w:val="24"/>
          <w:szCs w:val="24"/>
          <w:lang w:val="tr-TR"/>
        </w:rPr>
        <w:t xml:space="preserve"> hedefine </w:t>
      </w:r>
      <w:r w:rsidR="00CB5ABF" w:rsidRPr="00585E68">
        <w:rPr>
          <w:rFonts w:ascii="Arial" w:hAnsi="Arial" w:cs="Arial"/>
          <w:sz w:val="24"/>
          <w:szCs w:val="24"/>
          <w:lang w:val="tr-TR"/>
        </w:rPr>
        <w:t>ulaşmak</w:t>
      </w:r>
      <w:r w:rsidR="00CB5ABF" w:rsidRPr="00585E68">
        <w:rPr>
          <w:rFonts w:ascii="Arial" w:hAnsi="Arial" w:cs="Arial"/>
          <w:sz w:val="24"/>
          <w:szCs w:val="24"/>
        </w:rPr>
        <w:t xml:space="preserve"> </w:t>
      </w:r>
      <w:r w:rsidR="00BF542F" w:rsidRPr="00585E68">
        <w:rPr>
          <w:rFonts w:ascii="Arial" w:hAnsi="Arial" w:cs="Arial"/>
          <w:sz w:val="24"/>
          <w:szCs w:val="24"/>
        </w:rPr>
        <w:t>ve böylece makroekonomik ve finansal istikrarı güçlendirme</w:t>
      </w:r>
      <w:r w:rsidR="003E2AEA" w:rsidRPr="00585E68">
        <w:rPr>
          <w:rFonts w:ascii="Arial" w:hAnsi="Arial" w:cs="Arial"/>
          <w:sz w:val="24"/>
          <w:szCs w:val="24"/>
          <w:lang w:val="tr-TR"/>
        </w:rPr>
        <w:t>k</w:t>
      </w:r>
      <w:r w:rsidR="00BF542F" w:rsidRPr="00585E68">
        <w:rPr>
          <w:rFonts w:ascii="Arial" w:hAnsi="Arial" w:cs="Arial"/>
          <w:sz w:val="24"/>
          <w:szCs w:val="24"/>
          <w:lang w:val="tr-TR"/>
        </w:rPr>
        <w:t xml:space="preserve"> </w:t>
      </w:r>
      <w:proofErr w:type="spellStart"/>
      <w:r w:rsidRPr="00585E68">
        <w:rPr>
          <w:rFonts w:ascii="Arial" w:hAnsi="Arial" w:cs="Arial"/>
          <w:sz w:val="24"/>
          <w:szCs w:val="24"/>
          <w:lang w:val="tr-TR"/>
        </w:rPr>
        <w:t>OVP’nin</w:t>
      </w:r>
      <w:proofErr w:type="spellEnd"/>
      <w:r w:rsidRPr="00585E68">
        <w:rPr>
          <w:rFonts w:ascii="Arial" w:hAnsi="Arial" w:cs="Arial"/>
          <w:sz w:val="24"/>
          <w:szCs w:val="24"/>
          <w:lang w:val="tr-TR"/>
        </w:rPr>
        <w:t xml:space="preserve"> </w:t>
      </w:r>
      <w:r w:rsidR="003E2AEA" w:rsidRPr="00585E68">
        <w:rPr>
          <w:rFonts w:ascii="Arial" w:hAnsi="Arial" w:cs="Arial"/>
          <w:sz w:val="24"/>
          <w:szCs w:val="24"/>
          <w:lang w:val="tr-TR"/>
        </w:rPr>
        <w:t xml:space="preserve">temel </w:t>
      </w:r>
      <w:r w:rsidRPr="00585E68">
        <w:rPr>
          <w:rFonts w:ascii="Arial" w:hAnsi="Arial" w:cs="Arial"/>
          <w:sz w:val="24"/>
          <w:szCs w:val="24"/>
          <w:lang w:val="tr-TR"/>
        </w:rPr>
        <w:t>amacıdır.</w:t>
      </w:r>
    </w:p>
    <w:p w:rsidR="001A6CD0" w:rsidRPr="00585E68" w:rsidRDefault="00D4190F"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lang w:val="tr-TR"/>
        </w:rPr>
      </w:pPr>
      <w:r>
        <w:rPr>
          <w:rFonts w:ascii="Arial" w:hAnsi="Arial" w:cs="Arial"/>
          <w:sz w:val="24"/>
          <w:szCs w:val="24"/>
          <w:lang w:val="tr-TR"/>
        </w:rPr>
        <w:t xml:space="preserve">Yeni </w:t>
      </w:r>
      <w:r w:rsidR="00985240">
        <w:rPr>
          <w:rFonts w:ascii="Arial" w:hAnsi="Arial" w:cs="Arial"/>
          <w:sz w:val="24"/>
          <w:szCs w:val="24"/>
          <w:lang w:val="tr-TR"/>
        </w:rPr>
        <w:t xml:space="preserve">bir kalkınma hamlesi için </w:t>
      </w:r>
      <w:r>
        <w:rPr>
          <w:rFonts w:ascii="Arial" w:hAnsi="Arial" w:cs="Arial"/>
          <w:sz w:val="24"/>
          <w:szCs w:val="24"/>
          <w:lang w:val="tr-TR"/>
        </w:rPr>
        <w:t xml:space="preserve">ülkemizin ihtiyaç duyduğu </w:t>
      </w:r>
      <w:r w:rsidR="001A6CD0" w:rsidRPr="00585E68">
        <w:rPr>
          <w:rFonts w:ascii="Arial" w:hAnsi="Arial" w:cs="Arial"/>
          <w:sz w:val="24"/>
          <w:szCs w:val="24"/>
          <w:lang w:val="tr-TR"/>
        </w:rPr>
        <w:t>yapısal reformlar</w:t>
      </w:r>
      <w:r w:rsidR="00985240">
        <w:rPr>
          <w:rFonts w:ascii="Arial" w:hAnsi="Arial" w:cs="Arial"/>
          <w:sz w:val="24"/>
          <w:szCs w:val="24"/>
          <w:lang w:val="tr-TR"/>
        </w:rPr>
        <w:t xml:space="preserve"> OVP döneminde </w:t>
      </w:r>
      <w:r w:rsidR="0032787D" w:rsidRPr="00585E68">
        <w:rPr>
          <w:rFonts w:ascii="Arial" w:hAnsi="Arial" w:cs="Arial"/>
          <w:sz w:val="24"/>
          <w:szCs w:val="24"/>
          <w:lang w:val="tr-TR"/>
        </w:rPr>
        <w:t>hayata geçiril</w:t>
      </w:r>
      <w:r w:rsidR="00585E68" w:rsidRPr="00585E68">
        <w:rPr>
          <w:rFonts w:ascii="Arial" w:hAnsi="Arial" w:cs="Arial"/>
          <w:sz w:val="24"/>
          <w:szCs w:val="24"/>
          <w:lang w:val="tr-TR"/>
        </w:rPr>
        <w:t>ecektir</w:t>
      </w:r>
      <w:r w:rsidR="0032787D" w:rsidRPr="00585E68">
        <w:rPr>
          <w:rFonts w:ascii="Arial" w:hAnsi="Arial" w:cs="Arial"/>
          <w:sz w:val="24"/>
          <w:szCs w:val="24"/>
          <w:lang w:val="tr-TR"/>
        </w:rPr>
        <w:t>. Bu kapsamda</w:t>
      </w:r>
      <w:r w:rsidR="003E2AEA" w:rsidRPr="00585E68">
        <w:rPr>
          <w:rFonts w:ascii="Arial" w:hAnsi="Arial" w:cs="Arial"/>
          <w:sz w:val="24"/>
          <w:szCs w:val="24"/>
          <w:lang w:val="tr-TR"/>
        </w:rPr>
        <w:t>,</w:t>
      </w:r>
      <w:r w:rsidR="0032787D" w:rsidRPr="00585E68">
        <w:rPr>
          <w:rFonts w:ascii="Arial" w:hAnsi="Arial" w:cs="Arial"/>
          <w:sz w:val="24"/>
          <w:szCs w:val="24"/>
          <w:lang w:val="tr-TR"/>
        </w:rPr>
        <w:t xml:space="preserve"> Onuncu Kalkınma Planında yer alan öncelikli dönüşüm programları </w:t>
      </w:r>
      <w:r w:rsidR="003E2AEA" w:rsidRPr="00585E68">
        <w:rPr>
          <w:rFonts w:ascii="Arial" w:hAnsi="Arial" w:cs="Arial"/>
          <w:sz w:val="24"/>
          <w:szCs w:val="24"/>
          <w:lang w:val="tr-TR"/>
        </w:rPr>
        <w:t>çerçevesinde</w:t>
      </w:r>
      <w:r w:rsidR="0032787D" w:rsidRPr="00585E68">
        <w:rPr>
          <w:rFonts w:ascii="Arial" w:hAnsi="Arial" w:cs="Arial"/>
          <w:sz w:val="24"/>
          <w:szCs w:val="24"/>
          <w:lang w:val="tr-TR"/>
        </w:rPr>
        <w:t xml:space="preserve"> hazırlanan eylem planları uygula</w:t>
      </w:r>
      <w:r w:rsidR="003E2AEA" w:rsidRPr="00585E68">
        <w:rPr>
          <w:rFonts w:ascii="Arial" w:hAnsi="Arial" w:cs="Arial"/>
          <w:sz w:val="24"/>
          <w:szCs w:val="24"/>
          <w:lang w:val="tr-TR"/>
        </w:rPr>
        <w:t>maya konulacaktır</w:t>
      </w:r>
      <w:r w:rsidR="0032787D" w:rsidRPr="00585E68">
        <w:rPr>
          <w:rFonts w:ascii="Arial" w:hAnsi="Arial" w:cs="Arial"/>
          <w:sz w:val="24"/>
          <w:szCs w:val="24"/>
          <w:lang w:val="tr-TR"/>
        </w:rPr>
        <w:t xml:space="preserve">. Bu eylem planlarının düzenli </w:t>
      </w:r>
      <w:r w:rsidR="00F06C41" w:rsidRPr="00585E68">
        <w:rPr>
          <w:rFonts w:ascii="Arial" w:hAnsi="Arial" w:cs="Arial"/>
          <w:sz w:val="24"/>
          <w:szCs w:val="24"/>
          <w:lang w:val="tr-TR"/>
        </w:rPr>
        <w:t>taki</w:t>
      </w:r>
      <w:r w:rsidR="00F06C41">
        <w:rPr>
          <w:rFonts w:ascii="Arial" w:hAnsi="Arial" w:cs="Arial"/>
          <w:sz w:val="24"/>
          <w:szCs w:val="24"/>
          <w:lang w:val="tr-TR"/>
        </w:rPr>
        <w:t>biyle</w:t>
      </w:r>
      <w:r w:rsidR="00F06C41" w:rsidRPr="00585E68">
        <w:rPr>
          <w:rFonts w:ascii="Arial" w:hAnsi="Arial" w:cs="Arial"/>
          <w:sz w:val="24"/>
          <w:szCs w:val="24"/>
          <w:lang w:val="tr-TR"/>
        </w:rPr>
        <w:t xml:space="preserve"> </w:t>
      </w:r>
      <w:r w:rsidR="0032787D" w:rsidRPr="00585E68">
        <w:rPr>
          <w:rFonts w:ascii="Arial" w:hAnsi="Arial" w:cs="Arial"/>
          <w:sz w:val="24"/>
          <w:szCs w:val="24"/>
          <w:lang w:val="tr-TR"/>
        </w:rPr>
        <w:t xml:space="preserve">gerçekleşme düzeyi </w:t>
      </w:r>
      <w:r w:rsidR="00555E80" w:rsidRPr="00585E68">
        <w:rPr>
          <w:rFonts w:ascii="Arial" w:hAnsi="Arial" w:cs="Arial"/>
          <w:sz w:val="24"/>
          <w:szCs w:val="24"/>
          <w:lang w:val="tr-TR"/>
        </w:rPr>
        <w:t>artı</w:t>
      </w:r>
      <w:r w:rsidR="0032787D" w:rsidRPr="00585E68">
        <w:rPr>
          <w:rFonts w:ascii="Arial" w:hAnsi="Arial" w:cs="Arial"/>
          <w:sz w:val="24"/>
          <w:szCs w:val="24"/>
          <w:lang w:val="tr-TR"/>
        </w:rPr>
        <w:t>r</w:t>
      </w:r>
      <w:r w:rsidR="00555E80" w:rsidRPr="00585E68">
        <w:rPr>
          <w:rFonts w:ascii="Arial" w:hAnsi="Arial" w:cs="Arial"/>
          <w:sz w:val="24"/>
          <w:szCs w:val="24"/>
          <w:lang w:val="tr-TR"/>
        </w:rPr>
        <w:t>ılacaktır</w:t>
      </w:r>
      <w:r w:rsidR="0032787D" w:rsidRPr="00585E68">
        <w:rPr>
          <w:rFonts w:ascii="Arial" w:hAnsi="Arial" w:cs="Arial"/>
          <w:sz w:val="24"/>
          <w:szCs w:val="24"/>
          <w:lang w:val="tr-TR"/>
        </w:rPr>
        <w:t xml:space="preserve">. </w:t>
      </w:r>
    </w:p>
    <w:p w:rsidR="003E2AEA" w:rsidRPr="00585E68" w:rsidRDefault="003E2AEA"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lang w:val="tr-TR"/>
        </w:rPr>
        <w:t xml:space="preserve">ABD ekonomisinde gözlenen iyileşmeye karşın AB ülkelerinde ve gelişmekte olan ülkelerde küresel krizin etkilerinin halen devam ediyor olması küresel ekonomideki toparlanma eğilimini yavaşlatmaktadır. ABD’de para politikasının sıkılaştırılması, AB’de ise gevşetilmesi gündemdedir. Türkiye’nin yakın coğrafyasında meydana gelen siyasi gelişmeler jeopolitik risk unsuru olarak ortaya çıkmaktadır. </w:t>
      </w:r>
      <w:proofErr w:type="spellStart"/>
      <w:r w:rsidRPr="00585E68">
        <w:rPr>
          <w:rFonts w:ascii="Arial" w:hAnsi="Arial" w:cs="Arial"/>
          <w:sz w:val="24"/>
          <w:szCs w:val="24"/>
          <w:lang w:val="tr-TR"/>
        </w:rPr>
        <w:t>OVP’nin</w:t>
      </w:r>
      <w:proofErr w:type="spellEnd"/>
      <w:r w:rsidRPr="00585E68">
        <w:rPr>
          <w:rFonts w:ascii="Arial" w:hAnsi="Arial" w:cs="Arial"/>
          <w:sz w:val="24"/>
          <w:szCs w:val="24"/>
          <w:lang w:val="tr-TR"/>
        </w:rPr>
        <w:t xml:space="preserve"> makroekonomik çerçevesi, dış dünyadan kaynaklanan bu riskler ve fırsatlar dikkate alınarak hazırlanmıştır.  </w:t>
      </w:r>
    </w:p>
    <w:p w:rsidR="0031012F" w:rsidRPr="00585E68" w:rsidRDefault="008E6992" w:rsidP="0010769B">
      <w:pPr>
        <w:tabs>
          <w:tab w:val="left" w:pos="567"/>
        </w:tabs>
        <w:spacing w:after="120" w:line="240" w:lineRule="auto"/>
        <w:rPr>
          <w:rFonts w:ascii="Arial" w:hAnsi="Arial" w:cs="Arial"/>
          <w:b/>
          <w:sz w:val="24"/>
          <w:szCs w:val="24"/>
        </w:rPr>
      </w:pPr>
      <w:r>
        <w:rPr>
          <w:rFonts w:ascii="Arial" w:hAnsi="Arial" w:cs="Arial"/>
          <w:sz w:val="24"/>
          <w:szCs w:val="24"/>
        </w:rPr>
        <w:tab/>
      </w:r>
      <w:r w:rsidR="0031012F" w:rsidRPr="00585E68">
        <w:rPr>
          <w:rFonts w:ascii="Arial" w:hAnsi="Arial" w:cs="Arial"/>
          <w:b/>
          <w:sz w:val="24"/>
          <w:szCs w:val="24"/>
        </w:rPr>
        <w:t>I. DÜNYA VE TÜRKİYE EKONOMİSİNDE GELİŞMELER</w:t>
      </w:r>
    </w:p>
    <w:p w:rsidR="0031012F" w:rsidRPr="0010769B" w:rsidRDefault="008E6992" w:rsidP="0010769B">
      <w:pPr>
        <w:tabs>
          <w:tab w:val="left" w:pos="567"/>
        </w:tabs>
        <w:spacing w:after="120" w:line="240" w:lineRule="auto"/>
        <w:rPr>
          <w:rFonts w:ascii="Arial" w:hAnsi="Arial" w:cs="Arial"/>
          <w:b/>
          <w:sz w:val="24"/>
          <w:szCs w:val="24"/>
        </w:rPr>
      </w:pPr>
      <w:r>
        <w:rPr>
          <w:rFonts w:ascii="Arial" w:hAnsi="Arial" w:cs="Arial"/>
          <w:b/>
          <w:sz w:val="24"/>
          <w:szCs w:val="24"/>
        </w:rPr>
        <w:tab/>
        <w:t xml:space="preserve">A. </w:t>
      </w:r>
      <w:r w:rsidR="0031012F" w:rsidRPr="0010769B">
        <w:rPr>
          <w:rFonts w:ascii="Arial" w:hAnsi="Arial" w:cs="Arial"/>
          <w:b/>
          <w:sz w:val="24"/>
          <w:szCs w:val="24"/>
        </w:rPr>
        <w:t>DÜNYA EKONOMİSİ</w:t>
      </w:r>
      <w:r w:rsidR="0031012F" w:rsidRPr="0010769B">
        <w:rPr>
          <w:rFonts w:ascii="Arial" w:hAnsi="Arial" w:cs="Arial"/>
          <w:b/>
          <w:sz w:val="24"/>
          <w:szCs w:val="24"/>
        </w:rPr>
        <w:tab/>
      </w:r>
    </w:p>
    <w:p w:rsidR="00A272A0" w:rsidRDefault="00A272A0"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lang w:val="tr-TR"/>
        </w:rPr>
      </w:pPr>
      <w:r w:rsidRPr="00D86959">
        <w:rPr>
          <w:rFonts w:ascii="Arial" w:hAnsi="Arial" w:cs="Arial"/>
          <w:sz w:val="24"/>
          <w:szCs w:val="24"/>
          <w:lang w:val="tr-TR"/>
        </w:rPr>
        <w:t xml:space="preserve">Dünya ekonomisi </w:t>
      </w:r>
      <w:r w:rsidR="00D01F04" w:rsidRPr="00D86959">
        <w:rPr>
          <w:rFonts w:ascii="Arial" w:hAnsi="Arial" w:cs="Arial"/>
          <w:sz w:val="24"/>
          <w:szCs w:val="24"/>
          <w:lang w:val="tr-TR"/>
        </w:rPr>
        <w:t xml:space="preserve">kademeli fakat düzensiz bir toparlanma </w:t>
      </w:r>
      <w:r w:rsidRPr="00D86959">
        <w:rPr>
          <w:rFonts w:ascii="Arial" w:hAnsi="Arial" w:cs="Arial"/>
          <w:sz w:val="24"/>
          <w:szCs w:val="24"/>
          <w:lang w:val="tr-TR"/>
        </w:rPr>
        <w:t xml:space="preserve">gösterse de </w:t>
      </w:r>
      <w:r w:rsidR="00F06C41" w:rsidRPr="0010769B">
        <w:rPr>
          <w:rFonts w:ascii="Arial" w:hAnsi="Arial" w:cs="Arial"/>
          <w:sz w:val="24"/>
          <w:szCs w:val="24"/>
          <w:lang w:val="tr-TR"/>
        </w:rPr>
        <w:t xml:space="preserve">düşük </w:t>
      </w:r>
      <w:r w:rsidR="00D01F04" w:rsidRPr="0010769B">
        <w:rPr>
          <w:rFonts w:ascii="Arial" w:hAnsi="Arial" w:cs="Arial"/>
          <w:sz w:val="24"/>
          <w:szCs w:val="24"/>
          <w:lang w:val="tr-TR"/>
        </w:rPr>
        <w:t xml:space="preserve">büyüme </w:t>
      </w:r>
      <w:r w:rsidRPr="0010769B">
        <w:rPr>
          <w:rFonts w:ascii="Arial" w:hAnsi="Arial" w:cs="Arial"/>
          <w:sz w:val="24"/>
          <w:szCs w:val="24"/>
          <w:lang w:val="tr-TR"/>
        </w:rPr>
        <w:t>süreci devam etmektedir. G</w:t>
      </w:r>
      <w:r w:rsidR="00D01F04" w:rsidRPr="0010769B">
        <w:rPr>
          <w:rFonts w:ascii="Arial" w:hAnsi="Arial" w:cs="Arial"/>
          <w:sz w:val="24"/>
          <w:szCs w:val="24"/>
          <w:lang w:val="tr-TR"/>
        </w:rPr>
        <w:t>elişmiş ekonomilerde büyüme hızı giderek iyileşmekle birlikte, gelişmekte olan ekonomilerde büyüme performansı zayıflamıştır.</w:t>
      </w:r>
    </w:p>
    <w:p w:rsidR="00D01F04" w:rsidRPr="00D86959" w:rsidRDefault="00D01F04"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lang w:val="tr-TR"/>
        </w:rPr>
      </w:pPr>
      <w:r w:rsidRPr="00D86959">
        <w:rPr>
          <w:rFonts w:ascii="Arial" w:hAnsi="Arial" w:cs="Arial"/>
          <w:sz w:val="24"/>
          <w:szCs w:val="24"/>
          <w:lang w:val="tr-TR"/>
        </w:rPr>
        <w:t>2013 yılında yüzde 3,3 oranında büyüyen dünya ekonomisinin 2014 yılında da bu seviyede büyümesi beklenmektedir. 2014 yılında dünya büyümesinde kayda değer bir artış beklenmemesinin nedeni özellikle gelişmekte olan ekonomilerin büyümelerinde gözlenen yavaşlamadır. Nisan ayında 2014 yılı dünya büyümesi yüzde 3,6 olarak öngörülmüş, Ekim ayında ise bu tahmin yüzd</w:t>
      </w:r>
      <w:r w:rsidRPr="00032574">
        <w:rPr>
          <w:rFonts w:ascii="Arial" w:hAnsi="Arial" w:cs="Arial"/>
          <w:sz w:val="24"/>
          <w:szCs w:val="24"/>
          <w:lang w:val="tr-TR"/>
        </w:rPr>
        <w:t>e 3,3’e indirilmiştir</w:t>
      </w:r>
      <w:r w:rsidRPr="0010769B">
        <w:rPr>
          <w:vertAlign w:val="superscript"/>
          <w:lang w:val="tr-TR"/>
        </w:rPr>
        <w:footnoteReference w:id="1"/>
      </w:r>
      <w:r w:rsidRPr="00D86959">
        <w:rPr>
          <w:rFonts w:ascii="Arial" w:hAnsi="Arial" w:cs="Arial"/>
          <w:sz w:val="24"/>
          <w:szCs w:val="24"/>
          <w:lang w:val="tr-TR"/>
        </w:rPr>
        <w:t>. 2015 yılında ise büyümenin hem gelişmiş hem de gelişmekte olan ekonomilerin büyümelerinde bek</w:t>
      </w:r>
      <w:r w:rsidR="00C15EA3">
        <w:rPr>
          <w:rFonts w:ascii="Arial" w:hAnsi="Arial" w:cs="Arial"/>
          <w:sz w:val="24"/>
          <w:szCs w:val="24"/>
          <w:lang w:val="tr-TR"/>
        </w:rPr>
        <w:t>lenen ivmelenme sonucu yüzde 3,8</w:t>
      </w:r>
      <w:r w:rsidRPr="00D86959">
        <w:rPr>
          <w:rFonts w:ascii="Arial" w:hAnsi="Arial" w:cs="Arial"/>
          <w:sz w:val="24"/>
          <w:szCs w:val="24"/>
          <w:lang w:val="tr-TR"/>
        </w:rPr>
        <w:t xml:space="preserve"> olması beklenmektedir. </w:t>
      </w:r>
    </w:p>
    <w:p w:rsidR="00D01F04" w:rsidRPr="00FF7774" w:rsidRDefault="00D01F04"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lang w:val="tr-TR"/>
        </w:rPr>
      </w:pPr>
      <w:r w:rsidRPr="00FF7774">
        <w:rPr>
          <w:rFonts w:ascii="Arial" w:hAnsi="Arial" w:cs="Arial"/>
          <w:sz w:val="24"/>
          <w:szCs w:val="24"/>
          <w:lang w:val="tr-TR"/>
        </w:rPr>
        <w:t>2013 yılında yüzde 1,4 oranında büyüyen gelişmiş ekonomiler</w:t>
      </w:r>
      <w:r w:rsidR="00A272A0">
        <w:rPr>
          <w:rFonts w:ascii="Arial" w:hAnsi="Arial" w:cs="Arial"/>
          <w:sz w:val="24"/>
          <w:szCs w:val="24"/>
          <w:lang w:val="tr-TR"/>
        </w:rPr>
        <w:t>,</w:t>
      </w:r>
      <w:r w:rsidRPr="00FF7774">
        <w:rPr>
          <w:rFonts w:ascii="Arial" w:hAnsi="Arial" w:cs="Arial"/>
          <w:sz w:val="24"/>
          <w:szCs w:val="24"/>
          <w:lang w:val="tr-TR"/>
        </w:rPr>
        <w:t xml:space="preserve"> 2014 yılında ılımlı bir şekilde büyümeye devam etmekle birlikte, </w:t>
      </w:r>
      <w:r w:rsidR="00A272A0">
        <w:rPr>
          <w:rFonts w:ascii="Arial" w:hAnsi="Arial" w:cs="Arial"/>
          <w:sz w:val="24"/>
          <w:szCs w:val="24"/>
          <w:lang w:val="tr-TR"/>
        </w:rPr>
        <w:t>bu ülkelerin</w:t>
      </w:r>
      <w:r w:rsidR="00A272A0" w:rsidRPr="00FF7774">
        <w:rPr>
          <w:rFonts w:ascii="Arial" w:hAnsi="Arial" w:cs="Arial"/>
          <w:sz w:val="24"/>
          <w:szCs w:val="24"/>
          <w:lang w:val="tr-TR"/>
        </w:rPr>
        <w:t xml:space="preserve"> </w:t>
      </w:r>
      <w:r w:rsidRPr="00FF7774">
        <w:rPr>
          <w:rFonts w:ascii="Arial" w:hAnsi="Arial" w:cs="Arial"/>
          <w:sz w:val="24"/>
          <w:szCs w:val="24"/>
          <w:lang w:val="tr-TR"/>
        </w:rPr>
        <w:t xml:space="preserve">büyüme performansları arasında ayrışma gözlenmektedir. Nitekim 2014 yılının ikinci çeyreğinde ABD ekonomisinde güçlü bir </w:t>
      </w:r>
      <w:r w:rsidR="00A272A0">
        <w:rPr>
          <w:rFonts w:ascii="Arial" w:hAnsi="Arial" w:cs="Arial"/>
          <w:sz w:val="24"/>
          <w:szCs w:val="24"/>
          <w:lang w:val="tr-TR"/>
        </w:rPr>
        <w:t>büyüme</w:t>
      </w:r>
      <w:r w:rsidRPr="00FF7774">
        <w:rPr>
          <w:rFonts w:ascii="Arial" w:hAnsi="Arial" w:cs="Arial"/>
          <w:sz w:val="24"/>
          <w:szCs w:val="24"/>
          <w:lang w:val="tr-TR"/>
        </w:rPr>
        <w:t xml:space="preserve"> gözlenirken, diğer gelişmiş ekonomiler daha zayıf bir performans gerçekleştirmiştir. Uluslararası kuruluşlar, gelişmiş ekonomilerin büyümelerine yönelik yaptıkları tahminlerini Avro Bölgesinde istikrarlı bir toparlanmanın sağlanamaması ve Japonya’daki vergi artışlarının büyümeyi olumsuz etkilemesi gibi nedenlerle aşağı yönlü revize etmişlerdir. Nisan ayında gelişmiş ekonomilerin 2014 yılında yüzde 2,2 oranında büyüyeceği tahmin edilirken, Ekim </w:t>
      </w:r>
      <w:r w:rsidRPr="00FF7774">
        <w:rPr>
          <w:rFonts w:ascii="Arial" w:hAnsi="Arial" w:cs="Arial"/>
          <w:sz w:val="24"/>
          <w:szCs w:val="24"/>
          <w:lang w:val="tr-TR"/>
        </w:rPr>
        <w:lastRenderedPageBreak/>
        <w:t xml:space="preserve">ayında bu tahmin yüzde 1,8’e revize edilmiştir. </w:t>
      </w:r>
      <w:r w:rsidR="003F7D65" w:rsidRPr="00FF7774">
        <w:rPr>
          <w:rFonts w:ascii="Arial" w:hAnsi="Arial" w:cs="Arial"/>
          <w:sz w:val="24"/>
          <w:szCs w:val="24"/>
          <w:lang w:val="tr-TR"/>
        </w:rPr>
        <w:t>2015 yılında</w:t>
      </w:r>
      <w:r w:rsidR="003F7D65">
        <w:rPr>
          <w:rFonts w:ascii="Arial" w:hAnsi="Arial" w:cs="Arial"/>
          <w:sz w:val="24"/>
          <w:szCs w:val="24"/>
          <w:lang w:val="tr-TR"/>
        </w:rPr>
        <w:t>,</w:t>
      </w:r>
      <w:r w:rsidR="003F7D65" w:rsidRPr="00FF7774">
        <w:rPr>
          <w:rFonts w:ascii="Arial" w:hAnsi="Arial" w:cs="Arial"/>
          <w:sz w:val="24"/>
          <w:szCs w:val="24"/>
          <w:lang w:val="tr-TR"/>
        </w:rPr>
        <w:t xml:space="preserve"> </w:t>
      </w:r>
      <w:r w:rsidR="003F7D65">
        <w:rPr>
          <w:rFonts w:ascii="Arial" w:hAnsi="Arial" w:cs="Arial"/>
          <w:sz w:val="24"/>
          <w:szCs w:val="24"/>
          <w:lang w:val="tr-TR"/>
        </w:rPr>
        <w:t>g</w:t>
      </w:r>
      <w:r w:rsidR="003F7D65" w:rsidRPr="00FF7774">
        <w:rPr>
          <w:rFonts w:ascii="Arial" w:hAnsi="Arial" w:cs="Arial"/>
          <w:sz w:val="24"/>
          <w:szCs w:val="24"/>
          <w:lang w:val="tr-TR"/>
        </w:rPr>
        <w:t xml:space="preserve">elişmiş </w:t>
      </w:r>
      <w:r w:rsidRPr="00FF7774">
        <w:rPr>
          <w:rFonts w:ascii="Arial" w:hAnsi="Arial" w:cs="Arial"/>
          <w:sz w:val="24"/>
          <w:szCs w:val="24"/>
          <w:lang w:val="tr-TR"/>
        </w:rPr>
        <w:t>ekonomilerin büyümesinin</w:t>
      </w:r>
      <w:r w:rsidR="003F7D65">
        <w:rPr>
          <w:rFonts w:ascii="Arial" w:hAnsi="Arial" w:cs="Arial"/>
          <w:sz w:val="24"/>
          <w:szCs w:val="24"/>
          <w:lang w:val="tr-TR"/>
        </w:rPr>
        <w:t>,</w:t>
      </w:r>
      <w:r w:rsidRPr="00FF7774">
        <w:rPr>
          <w:rFonts w:ascii="Arial" w:hAnsi="Arial" w:cs="Arial"/>
          <w:sz w:val="24"/>
          <w:szCs w:val="24"/>
          <w:lang w:val="tr-TR"/>
        </w:rPr>
        <w:t xml:space="preserve"> özellikle ABD ekonomisinde devam eden hızlı toparlanmanın katkısıyla</w:t>
      </w:r>
      <w:r w:rsidR="003F7D65">
        <w:rPr>
          <w:rFonts w:ascii="Arial" w:hAnsi="Arial" w:cs="Arial"/>
          <w:sz w:val="24"/>
          <w:szCs w:val="24"/>
          <w:lang w:val="tr-TR"/>
        </w:rPr>
        <w:t>,</w:t>
      </w:r>
      <w:r w:rsidRPr="00FF7774">
        <w:rPr>
          <w:rFonts w:ascii="Arial" w:hAnsi="Arial" w:cs="Arial"/>
          <w:sz w:val="24"/>
          <w:szCs w:val="24"/>
          <w:lang w:val="tr-TR"/>
        </w:rPr>
        <w:t xml:space="preserve"> yüzde 2,3 olması beklenmektedir.</w:t>
      </w:r>
    </w:p>
    <w:p w:rsidR="00D01F04" w:rsidRPr="00FF7774" w:rsidRDefault="00D01F04"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lang w:val="tr-TR"/>
        </w:rPr>
      </w:pPr>
      <w:r w:rsidRPr="00FF7774">
        <w:rPr>
          <w:rFonts w:ascii="Arial" w:hAnsi="Arial" w:cs="Arial"/>
          <w:sz w:val="24"/>
          <w:szCs w:val="24"/>
          <w:lang w:val="tr-TR"/>
        </w:rPr>
        <w:t xml:space="preserve">2013 yılında yüzde 2,2 oranında büyüyen ABD ekonomisi, 2014 yılının ilk çeyreğinde yüzde 2,1 oranında daralmıştır. Son üç yılda ilk defa gerçekleşen daralmaya </w:t>
      </w:r>
      <w:r w:rsidR="00B1621E">
        <w:rPr>
          <w:rFonts w:ascii="Arial" w:hAnsi="Arial" w:cs="Arial"/>
          <w:sz w:val="24"/>
          <w:szCs w:val="24"/>
          <w:lang w:val="tr-TR"/>
        </w:rPr>
        <w:t>kötü</w:t>
      </w:r>
      <w:r w:rsidR="00B1621E" w:rsidRPr="00FF7774">
        <w:rPr>
          <w:rFonts w:ascii="Arial" w:hAnsi="Arial" w:cs="Arial"/>
          <w:sz w:val="24"/>
          <w:szCs w:val="24"/>
          <w:lang w:val="tr-TR"/>
        </w:rPr>
        <w:t xml:space="preserve"> </w:t>
      </w:r>
      <w:r w:rsidRPr="00FF7774">
        <w:rPr>
          <w:rFonts w:ascii="Arial" w:hAnsi="Arial" w:cs="Arial"/>
          <w:sz w:val="24"/>
          <w:szCs w:val="24"/>
          <w:lang w:val="tr-TR"/>
        </w:rPr>
        <w:t xml:space="preserve">hava </w:t>
      </w:r>
      <w:r w:rsidR="00B1621E">
        <w:rPr>
          <w:rFonts w:ascii="Arial" w:hAnsi="Arial" w:cs="Arial"/>
          <w:sz w:val="24"/>
          <w:szCs w:val="24"/>
          <w:lang w:val="tr-TR"/>
        </w:rPr>
        <w:t>şart</w:t>
      </w:r>
      <w:r w:rsidR="00B1621E" w:rsidRPr="00FF7774">
        <w:rPr>
          <w:rFonts w:ascii="Arial" w:hAnsi="Arial" w:cs="Arial"/>
          <w:sz w:val="24"/>
          <w:szCs w:val="24"/>
          <w:lang w:val="tr-TR"/>
        </w:rPr>
        <w:t xml:space="preserve">larının </w:t>
      </w:r>
      <w:r w:rsidRPr="00FF7774">
        <w:rPr>
          <w:rFonts w:ascii="Arial" w:hAnsi="Arial" w:cs="Arial"/>
          <w:sz w:val="24"/>
          <w:szCs w:val="24"/>
          <w:lang w:val="tr-TR"/>
        </w:rPr>
        <w:t>yatırımları ve inşaat sektörünü olumsuz yönde etkilemesi ve şirketlerin stoklarını daha yavaş artırması neden olmuştur. Nisan ayında ABD ekonomisinin 2014 yılı büyümesi yüzde 2,8 olarak tahmin edilmiş, 2014 yılı Ekim ayında bu oran yüzde 2,2 seviyesine indirilmiştir. Ancak 2014 yılının ikinci çeyreğinde gözlenen yüzde 4,6 oranındaki yüksek büyüme, 2014 yılının tamamında büyümenin 2013 yılına göre daha güçlü olma ihtimalini artırmaktadır. ABD ekonomisinde gözlenen bu ivmelenmenin devam etmesi ve büyümenin 2015 yılında yüzde 3,1 olması beklenmektedir.</w:t>
      </w:r>
    </w:p>
    <w:p w:rsidR="00D01F04" w:rsidRPr="00FF7774" w:rsidRDefault="00D01F04"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lang w:val="tr-TR"/>
        </w:rPr>
      </w:pPr>
      <w:r w:rsidRPr="00FF7774">
        <w:rPr>
          <w:rFonts w:ascii="Arial" w:hAnsi="Arial" w:cs="Arial"/>
          <w:sz w:val="24"/>
          <w:szCs w:val="24"/>
          <w:lang w:val="tr-TR"/>
        </w:rPr>
        <w:t>ABD ekonomisinde yaşanan olumlu gelişmeler sonrasında, ABD Merkez Bankası 18 Aralık 2013 tarihinde tahvil alımlarının azaltılmasına karar vermiş ve Ocak 2014 tarihinden itibaren tahvil alımları her ay 10 milyar dolar azaltılmıştır. Tahvil alım programının 2014 yılı Ekim ayı itibarıyla sonlandırılması ve ekonomik göstergelerde beklenen iyileşmeye paralel olarak 2015 yılının ikinci yarısından itibaren faiz oranlarının artırılmaya başlanması beklenmektedir.</w:t>
      </w:r>
    </w:p>
    <w:p w:rsidR="00D01F04" w:rsidRPr="00FF7774" w:rsidRDefault="00D01F04"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lang w:val="tr-TR"/>
        </w:rPr>
      </w:pPr>
      <w:r w:rsidRPr="00FF7774">
        <w:rPr>
          <w:rFonts w:ascii="Arial" w:hAnsi="Arial" w:cs="Arial"/>
          <w:sz w:val="24"/>
          <w:szCs w:val="24"/>
          <w:lang w:val="tr-TR"/>
        </w:rPr>
        <w:t>Avro Bölgesinde alınan önlemler sonucu finansal piyasalarda sağlanan iyileşmelerin reel kesime yansıması sınırlı olmuş ve yeterli büyüme sağlanamamıştır. Avro Bölgesi ekonomisi 2013 yılının ikinci çeyreğinde teknik anlamda durgunluktan çıkmasına rağmen, yılın tamamında yüzde 0,4 oranında daralmıştır. 2014 yılının birinci çeyreğindeki yüzde 0,2 oranındaki büyümeden sonra ikinci çeyrekte büyüme gerçekleşmemiştir. Bölgenin itici gücü olan ülkelerden Almanya’nın 2014 yılının ikinci çeyreğinde yüzde 0,2 oranında daralması; Fransa ve İtalya’nın da zayıf ekonomik performans</w:t>
      </w:r>
      <w:r w:rsidR="00E12C9B">
        <w:rPr>
          <w:rFonts w:ascii="Arial" w:hAnsi="Arial" w:cs="Arial"/>
          <w:sz w:val="24"/>
          <w:szCs w:val="24"/>
          <w:lang w:val="tr-TR"/>
        </w:rPr>
        <w:t>ı</w:t>
      </w:r>
      <w:r w:rsidRPr="00FF7774">
        <w:rPr>
          <w:rFonts w:ascii="Arial" w:hAnsi="Arial" w:cs="Arial"/>
          <w:sz w:val="24"/>
          <w:szCs w:val="24"/>
          <w:lang w:val="tr-TR"/>
        </w:rPr>
        <w:t xml:space="preserve"> 2014 yılının bölge için güçlü bir toparlanma yılı olma ihtimalini zayıflatmaktadır. Nisan ayında Avro Bölgesinin 2014 yılında yüzde 1,2 oranında büyüyeceği öngörülmüş, Ekim ayında bu tahmin yüzde 0,8 seviyesine indirilmiş; 2015 yılında ise bölgenin yavaş bir şekilde toparlanmaya devam ederek yüzde 1,3 oranında büyüyeceği tahmin edilmiştir. </w:t>
      </w:r>
    </w:p>
    <w:p w:rsidR="00D01F04" w:rsidRPr="00FF7774" w:rsidRDefault="00D01F04"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lang w:val="tr-TR"/>
        </w:rPr>
      </w:pPr>
      <w:r w:rsidRPr="00FF7774">
        <w:rPr>
          <w:rFonts w:ascii="Arial" w:hAnsi="Arial" w:cs="Arial"/>
          <w:sz w:val="24"/>
          <w:szCs w:val="24"/>
          <w:lang w:val="tr-TR"/>
        </w:rPr>
        <w:t xml:space="preserve">Avro Bölgesinde, bankacılık sektöründeki sorunların tam anlamıyla aşılamaması, yüksek kamu borçları, yatırımların düşük seyri, yüksek atıl kapasite ve yüksek işsizlik gibi yapısal sorunlar devam etmektedir. Bunlara ek olarak bölge, düşük büyümenin de etkisiyle </w:t>
      </w:r>
      <w:proofErr w:type="gramStart"/>
      <w:r w:rsidRPr="00FF7774">
        <w:rPr>
          <w:rFonts w:ascii="Arial" w:hAnsi="Arial" w:cs="Arial"/>
          <w:sz w:val="24"/>
          <w:szCs w:val="24"/>
          <w:lang w:val="tr-TR"/>
        </w:rPr>
        <w:t>deflasyon</w:t>
      </w:r>
      <w:proofErr w:type="gramEnd"/>
      <w:r w:rsidRPr="00FF7774">
        <w:rPr>
          <w:rFonts w:ascii="Arial" w:hAnsi="Arial" w:cs="Arial"/>
          <w:sz w:val="24"/>
          <w:szCs w:val="24"/>
          <w:lang w:val="tr-TR"/>
        </w:rPr>
        <w:t xml:space="preserve"> riskiyle karşı karşıyadır. Avrupa Merkez Bankası, bu risk karşısında orta vadede enflasyonun yüzde 2 hedefini aşmayacağı beklentisiyle, ilk faiz indirimini 2014 yılının Haziran ayında gerçekleştirmiş, diğer taraftan da geleneksel olmayan para politikası uygulamalarına devam etmiştir. Ayrıca ekonominin canlandırılması amacıyla yeni bir önlem paketi daha açıkla</w:t>
      </w:r>
      <w:r w:rsidR="00E12C9B">
        <w:rPr>
          <w:rFonts w:ascii="Arial" w:hAnsi="Arial" w:cs="Arial"/>
          <w:sz w:val="24"/>
          <w:szCs w:val="24"/>
          <w:lang w:val="tr-TR"/>
        </w:rPr>
        <w:t>n</w:t>
      </w:r>
      <w:r w:rsidRPr="00FF7774">
        <w:rPr>
          <w:rFonts w:ascii="Arial" w:hAnsi="Arial" w:cs="Arial"/>
          <w:sz w:val="24"/>
          <w:szCs w:val="24"/>
          <w:lang w:val="tr-TR"/>
        </w:rPr>
        <w:t>mıştır. Hedeflenen Uzun Dönem Yeniden Finansman İşlemleri adı altında bankalara tanınan uzun vadeli yeniden finansman imkânının başlangıç tutarının 400 milyar avro olacağı ilan edilmiştir. Ekonomide istenilen canlanma sağlanıncaya kadar bu politikalara devam edileceği açıklanmıştır.</w:t>
      </w:r>
    </w:p>
    <w:p w:rsidR="00D01F04" w:rsidRPr="00FF7774" w:rsidRDefault="00D01F04"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lang w:val="tr-TR"/>
        </w:rPr>
      </w:pPr>
      <w:r w:rsidRPr="00FF7774">
        <w:rPr>
          <w:rFonts w:ascii="Arial" w:hAnsi="Arial" w:cs="Arial"/>
          <w:sz w:val="24"/>
          <w:szCs w:val="24"/>
          <w:lang w:val="tr-TR"/>
        </w:rPr>
        <w:t>2013 yılının ikinci çeyreğinden itibaren</w:t>
      </w:r>
      <w:r w:rsidR="00E12C9B">
        <w:rPr>
          <w:rFonts w:ascii="Arial" w:hAnsi="Arial" w:cs="Arial"/>
          <w:sz w:val="24"/>
          <w:szCs w:val="24"/>
          <w:lang w:val="tr-TR"/>
        </w:rPr>
        <w:t>,</w:t>
      </w:r>
      <w:r w:rsidRPr="00FF7774">
        <w:rPr>
          <w:rFonts w:ascii="Arial" w:hAnsi="Arial" w:cs="Arial"/>
          <w:sz w:val="24"/>
          <w:szCs w:val="24"/>
          <w:lang w:val="tr-TR"/>
        </w:rPr>
        <w:t xml:space="preserve"> ABD’nin genişlemeci para </w:t>
      </w:r>
      <w:r w:rsidR="00E12C9B" w:rsidRPr="00FF7774">
        <w:rPr>
          <w:rFonts w:ascii="Arial" w:hAnsi="Arial" w:cs="Arial"/>
          <w:sz w:val="24"/>
          <w:szCs w:val="24"/>
          <w:lang w:val="tr-TR"/>
        </w:rPr>
        <w:t>politika</w:t>
      </w:r>
      <w:r w:rsidR="00E12C9B">
        <w:rPr>
          <w:rFonts w:ascii="Arial" w:hAnsi="Arial" w:cs="Arial"/>
          <w:sz w:val="24"/>
          <w:szCs w:val="24"/>
          <w:lang w:val="tr-TR"/>
        </w:rPr>
        <w:t>sı</w:t>
      </w:r>
      <w:r w:rsidR="00E12C9B" w:rsidRPr="00FF7774">
        <w:rPr>
          <w:rFonts w:ascii="Arial" w:hAnsi="Arial" w:cs="Arial"/>
          <w:sz w:val="24"/>
          <w:szCs w:val="24"/>
          <w:lang w:val="tr-TR"/>
        </w:rPr>
        <w:t xml:space="preserve">ndan </w:t>
      </w:r>
      <w:r w:rsidRPr="00FF7774">
        <w:rPr>
          <w:rFonts w:ascii="Arial" w:hAnsi="Arial" w:cs="Arial"/>
          <w:sz w:val="24"/>
          <w:szCs w:val="24"/>
          <w:lang w:val="tr-TR"/>
        </w:rPr>
        <w:t>çıkış sürec</w:t>
      </w:r>
      <w:r w:rsidR="00E12C9B">
        <w:rPr>
          <w:rFonts w:ascii="Arial" w:hAnsi="Arial" w:cs="Arial"/>
          <w:sz w:val="24"/>
          <w:szCs w:val="24"/>
          <w:lang w:val="tr-TR"/>
        </w:rPr>
        <w:t>ini</w:t>
      </w:r>
      <w:r w:rsidRPr="00FF7774">
        <w:rPr>
          <w:rFonts w:ascii="Arial" w:hAnsi="Arial" w:cs="Arial"/>
          <w:sz w:val="24"/>
          <w:szCs w:val="24"/>
          <w:lang w:val="tr-TR"/>
        </w:rPr>
        <w:t xml:space="preserve"> başla</w:t>
      </w:r>
      <w:r w:rsidR="00E12C9B">
        <w:rPr>
          <w:rFonts w:ascii="Arial" w:hAnsi="Arial" w:cs="Arial"/>
          <w:sz w:val="24"/>
          <w:szCs w:val="24"/>
          <w:lang w:val="tr-TR"/>
        </w:rPr>
        <w:t>t</w:t>
      </w:r>
      <w:r w:rsidRPr="00FF7774">
        <w:rPr>
          <w:rFonts w:ascii="Arial" w:hAnsi="Arial" w:cs="Arial"/>
          <w:sz w:val="24"/>
          <w:szCs w:val="24"/>
          <w:lang w:val="tr-TR"/>
        </w:rPr>
        <w:t>ması</w:t>
      </w:r>
      <w:r w:rsidR="00E12C9B">
        <w:rPr>
          <w:rFonts w:ascii="Arial" w:hAnsi="Arial" w:cs="Arial"/>
          <w:sz w:val="24"/>
          <w:szCs w:val="24"/>
          <w:lang w:val="tr-TR"/>
        </w:rPr>
        <w:t>,</w:t>
      </w:r>
      <w:r w:rsidRPr="00FF7774">
        <w:rPr>
          <w:rFonts w:ascii="Arial" w:hAnsi="Arial" w:cs="Arial"/>
          <w:sz w:val="24"/>
          <w:szCs w:val="24"/>
          <w:lang w:val="tr-TR"/>
        </w:rPr>
        <w:t xml:space="preserve"> küresel finansal piyasalarda dalgalanmalara neden olmuş ve Türkiye dâhil birçok gelişmekte olan ekonomi bu gelişmeden olumsuz etkilenmiştir. Özellikle, cari açık sorunu yaşayan gelişmekte olan ekonomilerde sermaye çıkışı </w:t>
      </w:r>
      <w:r w:rsidR="00E12C9B">
        <w:rPr>
          <w:rFonts w:ascii="Arial" w:hAnsi="Arial" w:cs="Arial"/>
          <w:sz w:val="24"/>
          <w:szCs w:val="24"/>
          <w:lang w:val="tr-TR"/>
        </w:rPr>
        <w:t>olmuş</w:t>
      </w:r>
      <w:r w:rsidRPr="00FF7774">
        <w:rPr>
          <w:rFonts w:ascii="Arial" w:hAnsi="Arial" w:cs="Arial"/>
          <w:sz w:val="24"/>
          <w:szCs w:val="24"/>
          <w:lang w:val="tr-TR"/>
        </w:rPr>
        <w:t xml:space="preserve">, </w:t>
      </w:r>
      <w:r w:rsidR="00E12C9B" w:rsidRPr="00FF7774">
        <w:rPr>
          <w:rFonts w:ascii="Arial" w:hAnsi="Arial" w:cs="Arial"/>
          <w:sz w:val="24"/>
          <w:szCs w:val="24"/>
          <w:lang w:val="tr-TR"/>
        </w:rPr>
        <w:t>finansal piyasalarda dalgalanma yaşanmış</w:t>
      </w:r>
      <w:r w:rsidR="00E12C9B">
        <w:rPr>
          <w:rFonts w:ascii="Arial" w:hAnsi="Arial" w:cs="Arial"/>
          <w:sz w:val="24"/>
          <w:szCs w:val="24"/>
          <w:lang w:val="tr-TR"/>
        </w:rPr>
        <w:t>,</w:t>
      </w:r>
      <w:r w:rsidR="00E12C9B" w:rsidRPr="00FF7774">
        <w:rPr>
          <w:rFonts w:ascii="Arial" w:hAnsi="Arial" w:cs="Arial"/>
          <w:sz w:val="24"/>
          <w:szCs w:val="24"/>
          <w:lang w:val="tr-TR"/>
        </w:rPr>
        <w:t xml:space="preserve"> </w:t>
      </w:r>
      <w:r w:rsidRPr="00FF7774">
        <w:rPr>
          <w:rFonts w:ascii="Arial" w:hAnsi="Arial" w:cs="Arial"/>
          <w:sz w:val="24"/>
          <w:szCs w:val="24"/>
          <w:lang w:val="tr-TR"/>
        </w:rPr>
        <w:t xml:space="preserve">para birimleri değer kaybetmiş ve Brezilya başta olmak üzere birçok gelişmekte olan ekonomi bu süreçte faiz artırımına </w:t>
      </w:r>
      <w:r w:rsidRPr="00FF7774">
        <w:rPr>
          <w:rFonts w:ascii="Arial" w:hAnsi="Arial" w:cs="Arial"/>
          <w:sz w:val="24"/>
          <w:szCs w:val="24"/>
          <w:lang w:val="tr-TR"/>
        </w:rPr>
        <w:lastRenderedPageBreak/>
        <w:t>gitmiştir. Ayrıca, Çin başta olmak üzere yapısal sorunlar yaşayan bazı gelişmekte olan ülkelerde büyüme yavaşlamıştır. Özellikle</w:t>
      </w:r>
      <w:r w:rsidR="00E12C9B">
        <w:rPr>
          <w:rFonts w:ascii="Arial" w:hAnsi="Arial" w:cs="Arial"/>
          <w:sz w:val="24"/>
          <w:szCs w:val="24"/>
          <w:lang w:val="tr-TR"/>
        </w:rPr>
        <w:t>,</w:t>
      </w:r>
      <w:r w:rsidRPr="00FF7774">
        <w:rPr>
          <w:rFonts w:ascii="Arial" w:hAnsi="Arial" w:cs="Arial"/>
          <w:sz w:val="24"/>
          <w:szCs w:val="24"/>
          <w:lang w:val="tr-TR"/>
        </w:rPr>
        <w:t xml:space="preserve"> 2014 yılı birinci çeyrekteki zayıf görünümün etkisiyle, Çin ekonomisinin 2014 ve 2015 büyümesine ilişkin tahminler </w:t>
      </w:r>
      <w:r w:rsidR="007D50C1">
        <w:rPr>
          <w:rFonts w:ascii="Arial" w:hAnsi="Arial" w:cs="Arial"/>
          <w:sz w:val="24"/>
          <w:szCs w:val="24"/>
          <w:lang w:val="tr-TR"/>
        </w:rPr>
        <w:t xml:space="preserve">bir miktar </w:t>
      </w:r>
      <w:r w:rsidRPr="00FF7774">
        <w:rPr>
          <w:rFonts w:ascii="Arial" w:hAnsi="Arial" w:cs="Arial"/>
          <w:sz w:val="24"/>
          <w:szCs w:val="24"/>
          <w:lang w:val="tr-TR"/>
        </w:rPr>
        <w:t>aşağı yönlü revize edilmiş ve büyümenin sırasıyla yüzde 7,4 ve yüzde 7,1 olacağı tahmin edilmiştir. 2014 ve 2015 yılları için</w:t>
      </w:r>
      <w:r w:rsidR="007D50C1">
        <w:rPr>
          <w:rFonts w:ascii="Arial" w:hAnsi="Arial" w:cs="Arial"/>
          <w:sz w:val="24"/>
          <w:szCs w:val="24"/>
          <w:lang w:val="tr-TR"/>
        </w:rPr>
        <w:t>,</w:t>
      </w:r>
      <w:r w:rsidRPr="00FF7774">
        <w:rPr>
          <w:rFonts w:ascii="Arial" w:hAnsi="Arial" w:cs="Arial"/>
          <w:sz w:val="24"/>
          <w:szCs w:val="24"/>
          <w:lang w:val="tr-TR"/>
        </w:rPr>
        <w:t xml:space="preserve"> gelişmekte olan </w:t>
      </w:r>
      <w:r w:rsidR="007D50C1">
        <w:rPr>
          <w:rFonts w:ascii="Arial" w:hAnsi="Arial" w:cs="Arial"/>
          <w:sz w:val="24"/>
          <w:szCs w:val="24"/>
          <w:lang w:val="tr-TR"/>
        </w:rPr>
        <w:t xml:space="preserve">ekonomilerin büyümeleri bir önceki tahmine göre aşağı yönlü revize edilerek sırasıyla </w:t>
      </w:r>
      <w:r w:rsidR="00C15EA3">
        <w:rPr>
          <w:rFonts w:ascii="Arial" w:hAnsi="Arial" w:cs="Arial"/>
          <w:sz w:val="24"/>
          <w:szCs w:val="24"/>
          <w:lang w:val="tr-TR"/>
        </w:rPr>
        <w:t>yüzde 4,4</w:t>
      </w:r>
      <w:r w:rsidRPr="00FF7774">
        <w:rPr>
          <w:rFonts w:ascii="Arial" w:hAnsi="Arial" w:cs="Arial"/>
          <w:sz w:val="24"/>
          <w:szCs w:val="24"/>
          <w:lang w:val="tr-TR"/>
        </w:rPr>
        <w:t xml:space="preserve"> ve yüzde 5</w:t>
      </w:r>
      <w:r w:rsidR="007D50C1">
        <w:rPr>
          <w:rFonts w:ascii="Arial" w:hAnsi="Arial" w:cs="Arial"/>
          <w:sz w:val="24"/>
          <w:szCs w:val="24"/>
          <w:lang w:val="tr-TR"/>
        </w:rPr>
        <w:t xml:space="preserve"> olarak öngörülmüştür.</w:t>
      </w:r>
    </w:p>
    <w:p w:rsidR="00D01F04" w:rsidRPr="00FF7774" w:rsidRDefault="00D01F04"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lang w:val="tr-TR"/>
        </w:rPr>
      </w:pPr>
      <w:r w:rsidRPr="00FF7774">
        <w:rPr>
          <w:rFonts w:ascii="Arial" w:hAnsi="Arial" w:cs="Arial"/>
          <w:sz w:val="24"/>
          <w:szCs w:val="24"/>
          <w:lang w:val="tr-TR"/>
        </w:rPr>
        <w:t>2013 yılında yüzde 3 oranında gerçekleşen dünya ticaret hacmi artışının</w:t>
      </w:r>
      <w:r w:rsidR="007D50C1">
        <w:rPr>
          <w:rFonts w:ascii="Arial" w:hAnsi="Arial" w:cs="Arial"/>
          <w:sz w:val="24"/>
          <w:szCs w:val="24"/>
          <w:lang w:val="tr-TR"/>
        </w:rPr>
        <w:t>,</w:t>
      </w:r>
      <w:r w:rsidRPr="00FF7774">
        <w:rPr>
          <w:rFonts w:ascii="Arial" w:hAnsi="Arial" w:cs="Arial"/>
          <w:sz w:val="24"/>
          <w:szCs w:val="24"/>
          <w:lang w:val="tr-TR"/>
        </w:rPr>
        <w:t xml:space="preserve"> zayıf küresel aktivite ve zayıf talep nedeniyle önümüzdeki dönemde sınırlı kalması beklenmektedir. 2014 ve 2015 yılı dünya ticaret hacmi artışı</w:t>
      </w:r>
      <w:r w:rsidR="007D50C1">
        <w:rPr>
          <w:rFonts w:ascii="Arial" w:hAnsi="Arial" w:cs="Arial"/>
          <w:sz w:val="24"/>
          <w:szCs w:val="24"/>
          <w:lang w:val="tr-TR"/>
        </w:rPr>
        <w:t>,</w:t>
      </w:r>
      <w:r w:rsidRPr="00FF7774">
        <w:rPr>
          <w:rFonts w:ascii="Arial" w:hAnsi="Arial" w:cs="Arial"/>
          <w:sz w:val="24"/>
          <w:szCs w:val="24"/>
          <w:lang w:val="tr-TR"/>
        </w:rPr>
        <w:t xml:space="preserve"> Nisan ayında sırasıyla yüzde 4,3 ve yüzde 5,3 olarak tahmin edilmiş, Ekim ay</w:t>
      </w:r>
      <w:r w:rsidR="00C15EA3">
        <w:rPr>
          <w:rFonts w:ascii="Arial" w:hAnsi="Arial" w:cs="Arial"/>
          <w:sz w:val="24"/>
          <w:szCs w:val="24"/>
          <w:lang w:val="tr-TR"/>
        </w:rPr>
        <w:t>ında 2014 yılı tahmini yüzde 3,8’e</w:t>
      </w:r>
      <w:r w:rsidRPr="00FF7774">
        <w:rPr>
          <w:rFonts w:ascii="Arial" w:hAnsi="Arial" w:cs="Arial"/>
          <w:sz w:val="24"/>
          <w:szCs w:val="24"/>
          <w:lang w:val="tr-TR"/>
        </w:rPr>
        <w:t>, 2015 yılı tahmini ise yüzde 5 seviyesine indirilmiştir.</w:t>
      </w:r>
    </w:p>
    <w:p w:rsidR="00D01F04" w:rsidRPr="00FF7774" w:rsidRDefault="00D01F04"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lang w:val="tr-TR"/>
        </w:rPr>
      </w:pPr>
      <w:r w:rsidRPr="00FF7774">
        <w:rPr>
          <w:rFonts w:ascii="Arial" w:hAnsi="Arial" w:cs="Arial"/>
          <w:sz w:val="24"/>
          <w:szCs w:val="24"/>
          <w:lang w:val="tr-TR"/>
        </w:rPr>
        <w:t xml:space="preserve"> ABD dışındaki gelişmiş ekonomilerde zayıf ekonomik performans nedeniyle yeterli istihdam yaratılamamaktadır. ABD’de 2013 yılında yüzde 7,3 seviyesinde gerçekleşen işsizlik oranı</w:t>
      </w:r>
      <w:r w:rsidR="007D50C1">
        <w:rPr>
          <w:rFonts w:ascii="Arial" w:hAnsi="Arial" w:cs="Arial"/>
          <w:sz w:val="24"/>
          <w:szCs w:val="24"/>
          <w:lang w:val="tr-TR"/>
        </w:rPr>
        <w:t>,</w:t>
      </w:r>
      <w:r w:rsidRPr="00FF7774">
        <w:rPr>
          <w:rFonts w:ascii="Arial" w:hAnsi="Arial" w:cs="Arial"/>
          <w:sz w:val="24"/>
          <w:szCs w:val="24"/>
          <w:lang w:val="tr-TR"/>
        </w:rPr>
        <w:t xml:space="preserve"> 2014 yılı Ağustos ayında yüzde 6,1</w:t>
      </w:r>
      <w:r w:rsidR="007D50C1">
        <w:rPr>
          <w:rFonts w:ascii="Arial" w:hAnsi="Arial" w:cs="Arial"/>
          <w:sz w:val="24"/>
          <w:szCs w:val="24"/>
          <w:lang w:val="tr-TR"/>
        </w:rPr>
        <w:t>’</w:t>
      </w:r>
      <w:r w:rsidRPr="00FF7774">
        <w:rPr>
          <w:rFonts w:ascii="Arial" w:hAnsi="Arial" w:cs="Arial"/>
          <w:sz w:val="24"/>
          <w:szCs w:val="24"/>
          <w:lang w:val="tr-TR"/>
        </w:rPr>
        <w:t xml:space="preserve">e gerilemiştir. Bu gelişmede özellikle 2014 yılının ikinci çeyreğinde güçlenen ekonomik performansla birlikte işgücüne katılım oranının düşük seyretmesi etkili olmuştur. Avro Bölgesindeki zayıf ekonomik görünüm, düşük üretim seviyesi ve zayıf talep bölge için kronik bir sorun haline gelen işsizliğin çözümünü güçleştirmektedir. Avro Bölgesi işsizlik oranı 2013 yılında yüzde 12,5, 2014 yılı Temmuz ayında ise yüzde 11,5 </w:t>
      </w:r>
      <w:r w:rsidR="00A70A7D">
        <w:rPr>
          <w:rFonts w:ascii="Arial" w:hAnsi="Arial" w:cs="Arial"/>
          <w:sz w:val="24"/>
          <w:szCs w:val="24"/>
          <w:lang w:val="tr-TR"/>
        </w:rPr>
        <w:t>olarak</w:t>
      </w:r>
      <w:r w:rsidRPr="00FF7774">
        <w:rPr>
          <w:rFonts w:ascii="Arial" w:hAnsi="Arial" w:cs="Arial"/>
          <w:sz w:val="24"/>
          <w:szCs w:val="24"/>
          <w:lang w:val="tr-TR"/>
        </w:rPr>
        <w:t xml:space="preserve"> gerçekleşmiştir. Aynı dönemde genç işsizlik oranı yüzde 23,2</w:t>
      </w:r>
      <w:r w:rsidR="00A70A7D">
        <w:rPr>
          <w:rFonts w:ascii="Arial" w:hAnsi="Arial" w:cs="Arial"/>
          <w:sz w:val="24"/>
          <w:szCs w:val="24"/>
          <w:lang w:val="tr-TR"/>
        </w:rPr>
        <w:t>’y</w:t>
      </w:r>
      <w:r w:rsidRPr="00FF7774">
        <w:rPr>
          <w:rFonts w:ascii="Arial" w:hAnsi="Arial" w:cs="Arial"/>
          <w:sz w:val="24"/>
          <w:szCs w:val="24"/>
          <w:lang w:val="tr-TR"/>
        </w:rPr>
        <w:t>e ulaşmıştır.</w:t>
      </w:r>
    </w:p>
    <w:p w:rsidR="00D01F04" w:rsidRPr="00FF7774" w:rsidRDefault="00D01F04"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lang w:val="tr-TR"/>
        </w:rPr>
      </w:pPr>
      <w:r w:rsidRPr="00FF7774">
        <w:rPr>
          <w:rFonts w:ascii="Arial" w:hAnsi="Arial" w:cs="Arial"/>
          <w:sz w:val="24"/>
          <w:szCs w:val="24"/>
          <w:lang w:val="tr-TR"/>
        </w:rPr>
        <w:t>Küresel düzeyde enflasyon</w:t>
      </w:r>
      <w:r w:rsidR="00A70A7D">
        <w:rPr>
          <w:rFonts w:ascii="Arial" w:hAnsi="Arial" w:cs="Arial"/>
          <w:sz w:val="24"/>
          <w:szCs w:val="24"/>
          <w:lang w:val="tr-TR"/>
        </w:rPr>
        <w:t>,</w:t>
      </w:r>
      <w:r w:rsidRPr="00FF7774">
        <w:rPr>
          <w:rFonts w:ascii="Arial" w:hAnsi="Arial" w:cs="Arial"/>
          <w:sz w:val="24"/>
          <w:szCs w:val="24"/>
          <w:lang w:val="tr-TR"/>
        </w:rPr>
        <w:t xml:space="preserve"> zayıf talep nedeniyle düşük seyretmektedir. 2012 yılında yüzde 1,7 oranında gerileyen dünya mal ve hizmet ticareti fiyatları 2013 yılında da yüzde 0,3 oranında gerilemiştir. 2012</w:t>
      </w:r>
      <w:r w:rsidR="00C15EA3">
        <w:rPr>
          <w:rFonts w:ascii="Arial" w:hAnsi="Arial" w:cs="Arial"/>
          <w:sz w:val="24"/>
          <w:szCs w:val="24"/>
          <w:lang w:val="tr-TR"/>
        </w:rPr>
        <w:t xml:space="preserve"> yılında yüzde 4,2</w:t>
      </w:r>
      <w:r w:rsidRPr="00FF7774">
        <w:rPr>
          <w:rFonts w:ascii="Arial" w:hAnsi="Arial" w:cs="Arial"/>
          <w:sz w:val="24"/>
          <w:szCs w:val="24"/>
          <w:lang w:val="tr-TR"/>
        </w:rPr>
        <w:t xml:space="preserve"> oranında artan dünya tüketici </w:t>
      </w:r>
      <w:r w:rsidR="00C15EA3">
        <w:rPr>
          <w:rFonts w:ascii="Arial" w:hAnsi="Arial" w:cs="Arial"/>
          <w:sz w:val="24"/>
          <w:szCs w:val="24"/>
          <w:lang w:val="tr-TR"/>
        </w:rPr>
        <w:t>fiyatları 2013 yılında yüzde 3,9</w:t>
      </w:r>
      <w:r w:rsidRPr="00FF7774">
        <w:rPr>
          <w:rFonts w:ascii="Arial" w:hAnsi="Arial" w:cs="Arial"/>
          <w:sz w:val="24"/>
          <w:szCs w:val="24"/>
          <w:lang w:val="tr-TR"/>
        </w:rPr>
        <w:t xml:space="preserve"> oranında artmıştır. Aynı dönemde gelişmiş ülkelerde tüketici enflasyonu yüzde 2’den yüzde 1,4’e, yükselen piyasalar ve gelişmekte olan ekonomilerde yüzde 6,1’den yüzde 5,9’a gerilemiştir. Küresel enflasyon</w:t>
      </w:r>
      <w:r w:rsidR="00C15EA3">
        <w:rPr>
          <w:rFonts w:ascii="Arial" w:hAnsi="Arial" w:cs="Arial"/>
          <w:sz w:val="24"/>
          <w:szCs w:val="24"/>
          <w:lang w:val="tr-TR"/>
        </w:rPr>
        <w:t xml:space="preserve"> oranının 2014 yılında yüzde 3,8, 2015 yılında ise yüzde 3,9</w:t>
      </w:r>
      <w:r w:rsidRPr="00FF7774">
        <w:rPr>
          <w:rFonts w:ascii="Arial" w:hAnsi="Arial" w:cs="Arial"/>
          <w:sz w:val="24"/>
          <w:szCs w:val="24"/>
          <w:lang w:val="tr-TR"/>
        </w:rPr>
        <w:t xml:space="preserve"> oranında gerçekleşmesi beklenmektedir. </w:t>
      </w:r>
      <w:bookmarkStart w:id="0" w:name="_GoBack"/>
      <w:bookmarkEnd w:id="0"/>
    </w:p>
    <w:p w:rsidR="00D01F04" w:rsidRPr="00FF7774" w:rsidRDefault="00D01F04"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lang w:val="tr-TR"/>
        </w:rPr>
      </w:pPr>
      <w:r w:rsidRPr="00FF7774">
        <w:rPr>
          <w:rFonts w:ascii="Arial" w:hAnsi="Arial" w:cs="Arial"/>
          <w:sz w:val="24"/>
          <w:szCs w:val="24"/>
          <w:lang w:val="tr-TR"/>
        </w:rPr>
        <w:t xml:space="preserve">Küresel ekonomideki zayıf görünüm enerji ve endüstriyel metal fiyatlarında gerilemeye neden olmuştur. Gıda fiyatlarında kuraklığa bağlı dalgalanma görülmüştür. 2013 yılında ortalama </w:t>
      </w:r>
      <w:proofErr w:type="spellStart"/>
      <w:r w:rsidRPr="00FF7774">
        <w:rPr>
          <w:rFonts w:ascii="Arial" w:hAnsi="Arial" w:cs="Arial"/>
          <w:sz w:val="24"/>
          <w:szCs w:val="24"/>
          <w:lang w:val="tr-TR"/>
        </w:rPr>
        <w:t>Brent</w:t>
      </w:r>
      <w:proofErr w:type="spellEnd"/>
      <w:r w:rsidRPr="00FF7774">
        <w:rPr>
          <w:rFonts w:ascii="Arial" w:hAnsi="Arial" w:cs="Arial"/>
          <w:sz w:val="24"/>
          <w:szCs w:val="24"/>
          <w:lang w:val="tr-TR"/>
        </w:rPr>
        <w:t xml:space="preserve"> petrol varil fiyatı 109</w:t>
      </w:r>
      <w:r w:rsidR="00A70A7D">
        <w:rPr>
          <w:rFonts w:ascii="Arial" w:hAnsi="Arial" w:cs="Arial"/>
          <w:sz w:val="24"/>
          <w:szCs w:val="24"/>
          <w:lang w:val="tr-TR"/>
        </w:rPr>
        <w:t>,4</w:t>
      </w:r>
      <w:r w:rsidRPr="00FF7774">
        <w:rPr>
          <w:rFonts w:ascii="Arial" w:hAnsi="Arial" w:cs="Arial"/>
          <w:sz w:val="24"/>
          <w:szCs w:val="24"/>
          <w:lang w:val="tr-TR"/>
        </w:rPr>
        <w:t xml:space="preserve"> dolar </w:t>
      </w:r>
      <w:r w:rsidR="00A70A7D">
        <w:rPr>
          <w:rFonts w:ascii="Arial" w:hAnsi="Arial" w:cs="Arial"/>
          <w:sz w:val="24"/>
          <w:szCs w:val="24"/>
          <w:lang w:val="tr-TR"/>
        </w:rPr>
        <w:t>olarak</w:t>
      </w:r>
      <w:r w:rsidR="00A70A7D" w:rsidRPr="00FF7774">
        <w:rPr>
          <w:rFonts w:ascii="Arial" w:hAnsi="Arial" w:cs="Arial"/>
          <w:sz w:val="24"/>
          <w:szCs w:val="24"/>
          <w:lang w:val="tr-TR"/>
        </w:rPr>
        <w:t xml:space="preserve"> </w:t>
      </w:r>
      <w:r w:rsidRPr="00FF7774">
        <w:rPr>
          <w:rFonts w:ascii="Arial" w:hAnsi="Arial" w:cs="Arial"/>
          <w:sz w:val="24"/>
          <w:szCs w:val="24"/>
          <w:lang w:val="tr-TR"/>
        </w:rPr>
        <w:t>gerçekleşmiştir. Ancak 2014 yılının ilk çeyreğinden itibaren artan jeopolitik risklere rağmen, zayıf talep ve arz yönlü gelişmeler nedeniyle petrol fiyatı düş</w:t>
      </w:r>
      <w:r w:rsidR="00A70A7D">
        <w:rPr>
          <w:rFonts w:ascii="Arial" w:hAnsi="Arial" w:cs="Arial"/>
          <w:sz w:val="24"/>
          <w:szCs w:val="24"/>
          <w:lang w:val="tr-TR"/>
        </w:rPr>
        <w:t>müştür</w:t>
      </w:r>
      <w:r w:rsidRPr="00FF7774">
        <w:rPr>
          <w:rFonts w:ascii="Arial" w:hAnsi="Arial" w:cs="Arial"/>
          <w:sz w:val="24"/>
          <w:szCs w:val="24"/>
          <w:lang w:val="tr-TR"/>
        </w:rPr>
        <w:t>. Orta vadede bu eğilimin devam etmesi beklenmekle birlikte, jeopolitik belirsizlikler geçici fiyat artışına yol açabilecektir.</w:t>
      </w:r>
    </w:p>
    <w:p w:rsidR="00D01F04" w:rsidRPr="00FF7774" w:rsidRDefault="00D01F04"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lang w:val="tr-TR"/>
        </w:rPr>
      </w:pPr>
      <w:r w:rsidRPr="00FF7774">
        <w:rPr>
          <w:rFonts w:ascii="Arial" w:hAnsi="Arial" w:cs="Arial"/>
          <w:sz w:val="24"/>
          <w:szCs w:val="24"/>
          <w:lang w:val="tr-TR"/>
        </w:rPr>
        <w:t xml:space="preserve">Başta Japonya, Avro Bölgesi ve ABD olmak üzere gelişmiş ekonomilerdeki yüksek kamu borçlarının önümüzdeki dönemde de bu seviyelerini devam ettirmesi beklenmektedir. Düşük büyüme performansının ve ekonomiyi canlandırmak için uygulanan teşvik paketlerinin de etkisiyle önümüzdeki dönemde kamu borç oranlarında belirgin bir iyileşme beklenmemektedir.  </w:t>
      </w:r>
    </w:p>
    <w:p w:rsidR="00D01F04" w:rsidRPr="00FF7774" w:rsidRDefault="00A70A7D"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lang w:val="tr-TR"/>
        </w:rPr>
      </w:pPr>
      <w:r>
        <w:rPr>
          <w:rFonts w:ascii="Arial" w:hAnsi="Arial" w:cs="Arial"/>
          <w:sz w:val="24"/>
          <w:szCs w:val="24"/>
          <w:lang w:val="tr-TR"/>
        </w:rPr>
        <w:t>K</w:t>
      </w:r>
      <w:r w:rsidR="00D01F04" w:rsidRPr="00FF7774">
        <w:rPr>
          <w:rFonts w:ascii="Arial" w:hAnsi="Arial" w:cs="Arial"/>
          <w:sz w:val="24"/>
          <w:szCs w:val="24"/>
          <w:lang w:val="tr-TR"/>
        </w:rPr>
        <w:t>üresel ekonomi ılımlı ancak inişli çıkışlı bir hızla toparlanmaya devam etmektedir. Orta vadede gelişmiş ekonomiler durgunluk ve düşük potansiyel büyüme riskiyle karşı karşıyayken, gelişmekte olan ekonomilerde potansiyel büyüme hızı azalmaktadır. ABD Merkez Bankasının faiz oranlarını ne zaman ve ne oranda artıracağı, kısa ve orta vadede nasıl bir geçiş yapılacağı küresel finans piyasaları için belirsizliğini korumaktadır. Yapısal sorunları olan ve yüksek enflasyonla mücadele eden gelişmekte olan ekonomilerin piyasaları bu dalgalanmalardan olumsuz etkilenebilecektir.</w:t>
      </w:r>
    </w:p>
    <w:p w:rsidR="00D01F04" w:rsidRPr="00FF7774" w:rsidRDefault="00D01F04"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lang w:val="tr-TR"/>
        </w:rPr>
      </w:pPr>
      <w:r w:rsidRPr="00FF7774">
        <w:rPr>
          <w:rFonts w:ascii="Arial" w:hAnsi="Arial" w:cs="Arial"/>
          <w:sz w:val="24"/>
          <w:szCs w:val="24"/>
          <w:lang w:val="tr-TR"/>
        </w:rPr>
        <w:lastRenderedPageBreak/>
        <w:t xml:space="preserve">Orta Doğudaki karışıklık ile Rusya ve Ukrayna arasındaki siyasi gerilim küresel ekonomiye ilişkin riskleri artırmaktadır. Rusya ve Ukrayna arasındaki gerilim neticesinde Rusya ve Batı Avrupa ülkelerinin karşılıklı olarak uygulamaya koydukları bir takım ticari ve finansal kısıtlamalar her iki bölgenin ekonomisinde de olumsuzluk yaratmaktadır. </w:t>
      </w:r>
      <w:r w:rsidR="006D3A13">
        <w:rPr>
          <w:rFonts w:ascii="Arial" w:hAnsi="Arial" w:cs="Arial"/>
          <w:sz w:val="24"/>
          <w:szCs w:val="24"/>
          <w:lang w:val="tr-TR"/>
        </w:rPr>
        <w:t>Siyasi</w:t>
      </w:r>
      <w:r w:rsidR="006D3A13" w:rsidRPr="00FF7774">
        <w:rPr>
          <w:rFonts w:ascii="Arial" w:hAnsi="Arial" w:cs="Arial"/>
          <w:sz w:val="24"/>
          <w:szCs w:val="24"/>
          <w:lang w:val="tr-TR"/>
        </w:rPr>
        <w:t xml:space="preserve"> </w:t>
      </w:r>
      <w:r w:rsidRPr="00FF7774">
        <w:rPr>
          <w:rFonts w:ascii="Arial" w:hAnsi="Arial" w:cs="Arial"/>
          <w:sz w:val="24"/>
          <w:szCs w:val="24"/>
          <w:lang w:val="tr-TR"/>
        </w:rPr>
        <w:t>risklerin şiddetlenmesiyle küresel finans piyasalarındaki oynaklık artmakta, bu durum özellikle dış finansman ihtiyacı olan gelişmekte olan ekonomileri olumsuz yönde etkilemektedir. Yaşanan siyasi gerilimler petrol ve doğal gaz fiyatları</w:t>
      </w:r>
      <w:r w:rsidR="00DB15EA">
        <w:rPr>
          <w:rFonts w:ascii="Arial" w:hAnsi="Arial" w:cs="Arial"/>
          <w:sz w:val="24"/>
          <w:szCs w:val="24"/>
          <w:lang w:val="tr-TR"/>
        </w:rPr>
        <w:t>nı</w:t>
      </w:r>
      <w:r w:rsidRPr="00FF7774">
        <w:rPr>
          <w:rFonts w:ascii="Arial" w:hAnsi="Arial" w:cs="Arial"/>
          <w:sz w:val="24"/>
          <w:szCs w:val="24"/>
          <w:lang w:val="tr-TR"/>
        </w:rPr>
        <w:t xml:space="preserve"> artırabilecektir. </w:t>
      </w:r>
      <w:r w:rsidR="006D3A13">
        <w:rPr>
          <w:rFonts w:ascii="Arial" w:hAnsi="Arial" w:cs="Arial"/>
          <w:sz w:val="24"/>
          <w:szCs w:val="24"/>
          <w:lang w:val="tr-TR"/>
        </w:rPr>
        <w:t>Bu</w:t>
      </w:r>
      <w:r w:rsidRPr="00FF7774">
        <w:rPr>
          <w:rFonts w:ascii="Arial" w:hAnsi="Arial" w:cs="Arial"/>
          <w:sz w:val="24"/>
          <w:szCs w:val="24"/>
          <w:lang w:val="tr-TR"/>
        </w:rPr>
        <w:t xml:space="preserve"> fiyatların yükselmesi ise enerji ithalatçısı ve cari açığı yüksek olan ülkelerin ödemeler dengesi</w:t>
      </w:r>
      <w:r w:rsidR="005B22FF">
        <w:rPr>
          <w:rFonts w:ascii="Arial" w:hAnsi="Arial" w:cs="Arial"/>
          <w:sz w:val="24"/>
          <w:szCs w:val="24"/>
          <w:lang w:val="tr-TR"/>
        </w:rPr>
        <w:t xml:space="preserve">nde ve </w:t>
      </w:r>
      <w:r w:rsidRPr="00FF7774">
        <w:rPr>
          <w:rFonts w:ascii="Arial" w:hAnsi="Arial" w:cs="Arial"/>
          <w:sz w:val="24"/>
          <w:szCs w:val="24"/>
          <w:lang w:val="tr-TR"/>
        </w:rPr>
        <w:t xml:space="preserve">küresel büyüme </w:t>
      </w:r>
      <w:r w:rsidR="005B22FF">
        <w:rPr>
          <w:rFonts w:ascii="Arial" w:hAnsi="Arial" w:cs="Arial"/>
          <w:sz w:val="24"/>
          <w:szCs w:val="24"/>
          <w:lang w:val="tr-TR"/>
        </w:rPr>
        <w:t>üzerinde olumsuz etkide bulunabilecektir.</w:t>
      </w:r>
    </w:p>
    <w:p w:rsidR="00D01F04" w:rsidRPr="00FF7774" w:rsidRDefault="00D01F04"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lang w:val="tr-TR"/>
        </w:rPr>
      </w:pPr>
      <w:r w:rsidRPr="00FF7774">
        <w:rPr>
          <w:rFonts w:ascii="Arial" w:hAnsi="Arial" w:cs="Arial"/>
          <w:sz w:val="24"/>
          <w:szCs w:val="24"/>
          <w:lang w:val="tr-TR"/>
        </w:rPr>
        <w:t xml:space="preserve">Küresel likiditenin giderek sıkılaştığı </w:t>
      </w:r>
      <w:r w:rsidR="003E76DB">
        <w:rPr>
          <w:rFonts w:ascii="Arial" w:hAnsi="Arial" w:cs="Arial"/>
          <w:sz w:val="24"/>
          <w:szCs w:val="24"/>
          <w:lang w:val="tr-TR"/>
        </w:rPr>
        <w:t xml:space="preserve">bu </w:t>
      </w:r>
      <w:proofErr w:type="gramStart"/>
      <w:r w:rsidRPr="00FF7774">
        <w:rPr>
          <w:rFonts w:ascii="Arial" w:hAnsi="Arial" w:cs="Arial"/>
          <w:sz w:val="24"/>
          <w:szCs w:val="24"/>
          <w:lang w:val="tr-TR"/>
        </w:rPr>
        <w:t>konjonktürde</w:t>
      </w:r>
      <w:proofErr w:type="gramEnd"/>
      <w:r w:rsidR="003E76DB">
        <w:rPr>
          <w:rFonts w:ascii="Arial" w:hAnsi="Arial" w:cs="Arial"/>
          <w:sz w:val="24"/>
          <w:szCs w:val="24"/>
          <w:lang w:val="tr-TR"/>
        </w:rPr>
        <w:t>,</w:t>
      </w:r>
      <w:r w:rsidRPr="00FF7774">
        <w:rPr>
          <w:rFonts w:ascii="Arial" w:hAnsi="Arial" w:cs="Arial"/>
          <w:sz w:val="24"/>
          <w:szCs w:val="24"/>
          <w:lang w:val="tr-TR"/>
        </w:rPr>
        <w:t xml:space="preserve"> Türkiye’nin maliye politikasını </w:t>
      </w:r>
      <w:r w:rsidR="003E76DB" w:rsidRPr="00FF7774">
        <w:rPr>
          <w:rFonts w:ascii="Arial" w:hAnsi="Arial" w:cs="Arial"/>
          <w:sz w:val="24"/>
          <w:szCs w:val="24"/>
          <w:lang w:val="tr-TR"/>
        </w:rPr>
        <w:t>sıkılaştır</w:t>
      </w:r>
      <w:r w:rsidR="003E76DB">
        <w:rPr>
          <w:rFonts w:ascii="Arial" w:hAnsi="Arial" w:cs="Arial"/>
          <w:sz w:val="24"/>
          <w:szCs w:val="24"/>
          <w:lang w:val="tr-TR"/>
        </w:rPr>
        <w:t>ması</w:t>
      </w:r>
      <w:r w:rsidRPr="00FF7774">
        <w:rPr>
          <w:rFonts w:ascii="Arial" w:hAnsi="Arial" w:cs="Arial"/>
          <w:sz w:val="24"/>
          <w:szCs w:val="24"/>
          <w:lang w:val="tr-TR"/>
        </w:rPr>
        <w:t>, enflasyonla daha güçlü mücadele e</w:t>
      </w:r>
      <w:r w:rsidR="003E76DB">
        <w:rPr>
          <w:rFonts w:ascii="Arial" w:hAnsi="Arial" w:cs="Arial"/>
          <w:sz w:val="24"/>
          <w:szCs w:val="24"/>
          <w:lang w:val="tr-TR"/>
        </w:rPr>
        <w:t>tmesi</w:t>
      </w:r>
      <w:r w:rsidR="005B22FF">
        <w:rPr>
          <w:rFonts w:ascii="Arial" w:hAnsi="Arial" w:cs="Arial"/>
          <w:sz w:val="24"/>
          <w:szCs w:val="24"/>
          <w:lang w:val="tr-TR"/>
        </w:rPr>
        <w:t xml:space="preserve"> ve</w:t>
      </w:r>
      <w:r w:rsidRPr="00FF7774">
        <w:rPr>
          <w:rFonts w:ascii="Arial" w:hAnsi="Arial" w:cs="Arial"/>
          <w:sz w:val="24"/>
          <w:szCs w:val="24"/>
          <w:lang w:val="tr-TR"/>
        </w:rPr>
        <w:t xml:space="preserve"> ekonominin ihtiyaç duyduğu yapısal reformları </w:t>
      </w:r>
      <w:r w:rsidR="003E76DB">
        <w:rPr>
          <w:rFonts w:ascii="Arial" w:hAnsi="Arial" w:cs="Arial"/>
          <w:sz w:val="24"/>
          <w:szCs w:val="24"/>
          <w:lang w:val="tr-TR"/>
        </w:rPr>
        <w:t xml:space="preserve">hızla </w:t>
      </w:r>
      <w:r w:rsidR="003E76DB" w:rsidRPr="00FF7774">
        <w:rPr>
          <w:rFonts w:ascii="Arial" w:hAnsi="Arial" w:cs="Arial"/>
          <w:sz w:val="24"/>
          <w:szCs w:val="24"/>
          <w:lang w:val="tr-TR"/>
        </w:rPr>
        <w:t>gerçekleştir</w:t>
      </w:r>
      <w:r w:rsidR="003E76DB">
        <w:rPr>
          <w:rFonts w:ascii="Arial" w:hAnsi="Arial" w:cs="Arial"/>
          <w:sz w:val="24"/>
          <w:szCs w:val="24"/>
          <w:lang w:val="tr-TR"/>
        </w:rPr>
        <w:t>mesi</w:t>
      </w:r>
      <w:r w:rsidR="003E76DB" w:rsidRPr="00FF7774">
        <w:rPr>
          <w:rFonts w:ascii="Arial" w:hAnsi="Arial" w:cs="Arial"/>
          <w:sz w:val="24"/>
          <w:szCs w:val="24"/>
          <w:lang w:val="tr-TR"/>
        </w:rPr>
        <w:t xml:space="preserve"> </w:t>
      </w:r>
      <w:r w:rsidR="003E76DB">
        <w:rPr>
          <w:rFonts w:ascii="Arial" w:hAnsi="Arial" w:cs="Arial"/>
          <w:sz w:val="24"/>
          <w:szCs w:val="24"/>
          <w:lang w:val="tr-TR"/>
        </w:rPr>
        <w:t xml:space="preserve">suretiyle </w:t>
      </w:r>
      <w:r w:rsidRPr="00FF7774">
        <w:rPr>
          <w:rFonts w:ascii="Arial" w:hAnsi="Arial" w:cs="Arial"/>
          <w:sz w:val="24"/>
          <w:szCs w:val="24"/>
          <w:lang w:val="tr-TR"/>
        </w:rPr>
        <w:t xml:space="preserve">makroekonomik temellerini güçlü tutması önem arz etmektedir. </w:t>
      </w:r>
    </w:p>
    <w:p w:rsidR="004647B5" w:rsidRPr="0010769B" w:rsidRDefault="008E6992" w:rsidP="0010769B">
      <w:pPr>
        <w:tabs>
          <w:tab w:val="left" w:pos="567"/>
        </w:tabs>
        <w:spacing w:after="120" w:line="240" w:lineRule="auto"/>
        <w:jc w:val="both"/>
        <w:rPr>
          <w:rFonts w:ascii="Arial" w:hAnsi="Arial" w:cs="Arial"/>
          <w:b/>
          <w:sz w:val="24"/>
          <w:szCs w:val="24"/>
        </w:rPr>
      </w:pPr>
      <w:r>
        <w:rPr>
          <w:rFonts w:ascii="Arial" w:hAnsi="Arial" w:cs="Arial"/>
          <w:b/>
          <w:sz w:val="24"/>
          <w:szCs w:val="24"/>
        </w:rPr>
        <w:tab/>
      </w:r>
      <w:r w:rsidR="004647B5" w:rsidRPr="0010769B">
        <w:rPr>
          <w:rFonts w:ascii="Arial" w:hAnsi="Arial" w:cs="Arial"/>
          <w:b/>
          <w:sz w:val="24"/>
          <w:szCs w:val="24"/>
        </w:rPr>
        <w:t>B. TÜRKİYE EKONOMİSİ</w:t>
      </w:r>
    </w:p>
    <w:p w:rsidR="001D699B" w:rsidRPr="00585E68" w:rsidRDefault="004647B5"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İç ve dış talebi dengelemeye yönelik alınan tedbirler sonucunda 2012 yılında yavaşlayan büyüme hızı, 2013 yılında iç tale</w:t>
      </w:r>
      <w:r w:rsidR="001D699B" w:rsidRPr="00585E68">
        <w:rPr>
          <w:rFonts w:ascii="Arial" w:hAnsi="Arial" w:cs="Arial"/>
          <w:sz w:val="24"/>
          <w:szCs w:val="24"/>
          <w:lang w:val="tr-TR"/>
        </w:rPr>
        <w:t>p artışıyla</w:t>
      </w:r>
      <w:r w:rsidRPr="00585E68">
        <w:rPr>
          <w:rFonts w:ascii="Arial" w:hAnsi="Arial" w:cs="Arial"/>
          <w:sz w:val="24"/>
          <w:szCs w:val="24"/>
        </w:rPr>
        <w:t xml:space="preserve"> tekrar ivme kazanarak yüzde 4,1 olarak gerçekleşmiştir.</w:t>
      </w:r>
      <w:r w:rsidR="001D699B" w:rsidRPr="00585E68">
        <w:rPr>
          <w:rFonts w:ascii="Arial" w:hAnsi="Arial" w:cs="Arial"/>
          <w:sz w:val="24"/>
          <w:szCs w:val="24"/>
        </w:rPr>
        <w:t xml:space="preserve"> </w:t>
      </w:r>
      <w:r w:rsidR="001D699B" w:rsidRPr="00585E68">
        <w:rPr>
          <w:rFonts w:ascii="Arial" w:hAnsi="Arial" w:cs="Arial"/>
          <w:sz w:val="24"/>
          <w:szCs w:val="24"/>
          <w:lang w:val="tr-TR"/>
        </w:rPr>
        <w:t xml:space="preserve">Üretim tarafından bakıldığında, </w:t>
      </w:r>
      <w:r w:rsidR="001D699B" w:rsidRPr="00585E68">
        <w:rPr>
          <w:rFonts w:ascii="Arial" w:hAnsi="Arial" w:cs="Arial"/>
          <w:sz w:val="24"/>
          <w:szCs w:val="24"/>
        </w:rPr>
        <w:t>2013 yılında</w:t>
      </w:r>
      <w:r w:rsidR="001D699B" w:rsidRPr="00585E68">
        <w:rPr>
          <w:rFonts w:ascii="Arial" w:hAnsi="Arial" w:cs="Arial"/>
          <w:sz w:val="24"/>
          <w:szCs w:val="24"/>
          <w:lang w:val="tr-TR"/>
        </w:rPr>
        <w:t>,</w:t>
      </w:r>
      <w:r w:rsidR="001D699B" w:rsidRPr="00585E68">
        <w:rPr>
          <w:rFonts w:ascii="Arial" w:hAnsi="Arial" w:cs="Arial"/>
          <w:sz w:val="24"/>
          <w:szCs w:val="24"/>
        </w:rPr>
        <w:t xml:space="preserve"> sanayi sektöründe yüzde 3,</w:t>
      </w:r>
      <w:r w:rsidR="001D699B" w:rsidRPr="00585E68">
        <w:rPr>
          <w:rFonts w:ascii="Arial" w:hAnsi="Arial" w:cs="Arial"/>
          <w:sz w:val="24"/>
          <w:szCs w:val="24"/>
          <w:lang w:val="tr-TR"/>
        </w:rPr>
        <w:t>4</w:t>
      </w:r>
      <w:r w:rsidR="001D699B" w:rsidRPr="00585E68">
        <w:rPr>
          <w:rFonts w:ascii="Arial" w:hAnsi="Arial" w:cs="Arial"/>
          <w:sz w:val="24"/>
          <w:szCs w:val="24"/>
        </w:rPr>
        <w:t xml:space="preserve">, hizmetler sektöründe yüzde 5,6 ve tarım sektöründe yüzde 3,5 oranında katma değer artışı kaydedilmiştir. Sanayi ve hizmetlerde büyüme hızları beklentileri aşarken, tarım sektörünün büyüme hızı beklentinin bir miktar altında kalmıştır. </w:t>
      </w:r>
    </w:p>
    <w:p w:rsidR="009A0356" w:rsidRPr="00585E68" w:rsidRDefault="001D699B"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lang w:val="tr-TR"/>
        </w:rPr>
        <w:t>Bir önceki yılda önemli ölçüde daralan</w:t>
      </w:r>
      <w:r w:rsidR="004647B5" w:rsidRPr="00585E68">
        <w:rPr>
          <w:rFonts w:ascii="Arial" w:hAnsi="Arial" w:cs="Arial"/>
          <w:sz w:val="24"/>
          <w:szCs w:val="24"/>
        </w:rPr>
        <w:t xml:space="preserve"> özel </w:t>
      </w:r>
      <w:r w:rsidRPr="00585E68">
        <w:rPr>
          <w:rFonts w:ascii="Arial" w:hAnsi="Arial" w:cs="Arial"/>
          <w:sz w:val="24"/>
          <w:szCs w:val="24"/>
          <w:lang w:val="tr-TR"/>
        </w:rPr>
        <w:t xml:space="preserve">kesim </w:t>
      </w:r>
      <w:r w:rsidR="004647B5" w:rsidRPr="00585E68">
        <w:rPr>
          <w:rFonts w:ascii="Arial" w:hAnsi="Arial" w:cs="Arial"/>
          <w:sz w:val="24"/>
          <w:szCs w:val="24"/>
        </w:rPr>
        <w:t xml:space="preserve">yatırım harcamaları </w:t>
      </w:r>
      <w:r w:rsidRPr="00585E68">
        <w:rPr>
          <w:rFonts w:ascii="Arial" w:hAnsi="Arial" w:cs="Arial"/>
          <w:sz w:val="24"/>
          <w:szCs w:val="24"/>
          <w:lang w:val="tr-TR"/>
        </w:rPr>
        <w:t>2013 yılında öngörülen performansı gösterememiştir. K</w:t>
      </w:r>
      <w:proofErr w:type="spellStart"/>
      <w:r w:rsidR="004647B5" w:rsidRPr="00585E68">
        <w:rPr>
          <w:rFonts w:ascii="Arial" w:hAnsi="Arial" w:cs="Arial"/>
          <w:sz w:val="24"/>
          <w:szCs w:val="24"/>
        </w:rPr>
        <w:t>amu</w:t>
      </w:r>
      <w:proofErr w:type="spellEnd"/>
      <w:r w:rsidR="004647B5" w:rsidRPr="00585E68">
        <w:rPr>
          <w:rFonts w:ascii="Arial" w:hAnsi="Arial" w:cs="Arial"/>
          <w:sz w:val="24"/>
          <w:szCs w:val="24"/>
        </w:rPr>
        <w:t xml:space="preserve"> yatırım harcamaları</w:t>
      </w:r>
      <w:r w:rsidRPr="00585E68">
        <w:rPr>
          <w:rFonts w:ascii="Arial" w:hAnsi="Arial" w:cs="Arial"/>
          <w:sz w:val="24"/>
          <w:szCs w:val="24"/>
          <w:lang w:val="tr-TR"/>
        </w:rPr>
        <w:t>nda ise</w:t>
      </w:r>
      <w:r w:rsidR="004647B5" w:rsidRPr="00585E68">
        <w:rPr>
          <w:rFonts w:ascii="Arial" w:hAnsi="Arial" w:cs="Arial"/>
          <w:sz w:val="24"/>
          <w:szCs w:val="24"/>
        </w:rPr>
        <w:t xml:space="preserve"> </w:t>
      </w:r>
      <w:r w:rsidRPr="00585E68">
        <w:rPr>
          <w:rFonts w:ascii="Arial" w:hAnsi="Arial" w:cs="Arial"/>
          <w:sz w:val="24"/>
          <w:szCs w:val="24"/>
          <w:lang w:val="tr-TR"/>
        </w:rPr>
        <w:t>güçlü artış seyri 2013 yılında da devam etmiştir.</w:t>
      </w:r>
      <w:r w:rsidR="00082B11" w:rsidRPr="00585E68">
        <w:rPr>
          <w:rFonts w:ascii="Arial" w:hAnsi="Arial" w:cs="Arial"/>
          <w:sz w:val="24"/>
          <w:szCs w:val="24"/>
          <w:lang w:val="tr-TR"/>
        </w:rPr>
        <w:t xml:space="preserve"> 2013 yılında</w:t>
      </w:r>
      <w:r w:rsidRPr="00585E68">
        <w:rPr>
          <w:rFonts w:ascii="Arial" w:hAnsi="Arial" w:cs="Arial"/>
          <w:sz w:val="24"/>
          <w:szCs w:val="24"/>
          <w:lang w:val="tr-TR"/>
        </w:rPr>
        <w:t>,</w:t>
      </w:r>
      <w:r w:rsidR="00082B11" w:rsidRPr="00585E68">
        <w:rPr>
          <w:rFonts w:ascii="Arial" w:hAnsi="Arial" w:cs="Arial"/>
          <w:sz w:val="24"/>
          <w:szCs w:val="24"/>
          <w:lang w:val="tr-TR"/>
        </w:rPr>
        <w:t xml:space="preserve"> hem ö</w:t>
      </w:r>
      <w:proofErr w:type="spellStart"/>
      <w:r w:rsidR="004647B5" w:rsidRPr="00585E68">
        <w:rPr>
          <w:rFonts w:ascii="Arial" w:hAnsi="Arial" w:cs="Arial"/>
          <w:sz w:val="24"/>
          <w:szCs w:val="24"/>
        </w:rPr>
        <w:t>zel</w:t>
      </w:r>
      <w:proofErr w:type="spellEnd"/>
      <w:r w:rsidR="004647B5" w:rsidRPr="00585E68">
        <w:rPr>
          <w:rFonts w:ascii="Arial" w:hAnsi="Arial" w:cs="Arial"/>
          <w:sz w:val="24"/>
          <w:szCs w:val="24"/>
        </w:rPr>
        <w:t xml:space="preserve"> </w:t>
      </w:r>
      <w:r w:rsidR="00082B11" w:rsidRPr="00585E68">
        <w:rPr>
          <w:rFonts w:ascii="Arial" w:hAnsi="Arial" w:cs="Arial"/>
          <w:sz w:val="24"/>
          <w:szCs w:val="24"/>
          <w:lang w:val="tr-TR"/>
        </w:rPr>
        <w:t>hem de</w:t>
      </w:r>
      <w:r w:rsidR="00082B11" w:rsidRPr="00585E68">
        <w:rPr>
          <w:rFonts w:ascii="Arial" w:hAnsi="Arial" w:cs="Arial"/>
          <w:sz w:val="24"/>
          <w:szCs w:val="24"/>
        </w:rPr>
        <w:t xml:space="preserve"> </w:t>
      </w:r>
      <w:r w:rsidR="004647B5" w:rsidRPr="00585E68">
        <w:rPr>
          <w:rFonts w:ascii="Arial" w:hAnsi="Arial" w:cs="Arial"/>
          <w:sz w:val="24"/>
          <w:szCs w:val="24"/>
        </w:rPr>
        <w:t xml:space="preserve">kamu tüketim harcamaları </w:t>
      </w:r>
      <w:r w:rsidR="00082B11" w:rsidRPr="00585E68">
        <w:rPr>
          <w:rFonts w:ascii="Arial" w:hAnsi="Arial" w:cs="Arial"/>
          <w:sz w:val="24"/>
          <w:szCs w:val="24"/>
          <w:lang w:val="tr-TR"/>
        </w:rPr>
        <w:t>gelir artışının üzerinde gerçekleşmiş</w:t>
      </w:r>
      <w:r w:rsidR="00BE6F43">
        <w:rPr>
          <w:rFonts w:ascii="Arial" w:hAnsi="Arial" w:cs="Arial"/>
          <w:sz w:val="24"/>
          <w:szCs w:val="24"/>
          <w:lang w:val="tr-TR"/>
        </w:rPr>
        <w:t>,</w:t>
      </w:r>
      <w:r w:rsidR="00082B11" w:rsidRPr="00585E68">
        <w:rPr>
          <w:rFonts w:ascii="Arial" w:hAnsi="Arial" w:cs="Arial"/>
          <w:sz w:val="24"/>
          <w:szCs w:val="24"/>
          <w:lang w:val="tr-TR"/>
        </w:rPr>
        <w:t xml:space="preserve"> bu durum yurt içi tasarruf oranının 1,1 puan düşmesine neden olmuştur. </w:t>
      </w:r>
      <w:r w:rsidR="004647B5" w:rsidRPr="00585E68">
        <w:rPr>
          <w:rFonts w:ascii="Arial" w:hAnsi="Arial" w:cs="Arial"/>
          <w:sz w:val="24"/>
          <w:szCs w:val="24"/>
        </w:rPr>
        <w:t xml:space="preserve">Artan </w:t>
      </w:r>
      <w:r w:rsidR="009A0356" w:rsidRPr="00585E68">
        <w:rPr>
          <w:rFonts w:ascii="Arial" w:hAnsi="Arial" w:cs="Arial"/>
          <w:sz w:val="24"/>
          <w:szCs w:val="24"/>
          <w:lang w:val="tr-TR"/>
        </w:rPr>
        <w:t>yurt</w:t>
      </w:r>
      <w:r w:rsidR="00082B11" w:rsidRPr="00585E68">
        <w:rPr>
          <w:rFonts w:ascii="Arial" w:hAnsi="Arial" w:cs="Arial"/>
          <w:sz w:val="24"/>
          <w:szCs w:val="24"/>
          <w:lang w:val="tr-TR"/>
        </w:rPr>
        <w:t xml:space="preserve"> </w:t>
      </w:r>
      <w:r w:rsidR="004647B5" w:rsidRPr="00585E68">
        <w:rPr>
          <w:rFonts w:ascii="Arial" w:hAnsi="Arial" w:cs="Arial"/>
          <w:sz w:val="24"/>
          <w:szCs w:val="24"/>
        </w:rPr>
        <w:t>iç</w:t>
      </w:r>
      <w:r w:rsidR="009A0356" w:rsidRPr="00585E68">
        <w:rPr>
          <w:rFonts w:ascii="Arial" w:hAnsi="Arial" w:cs="Arial"/>
          <w:sz w:val="24"/>
          <w:szCs w:val="24"/>
          <w:lang w:val="tr-TR"/>
        </w:rPr>
        <w:t>i</w:t>
      </w:r>
      <w:r w:rsidR="000B4B8E" w:rsidRPr="00585E68">
        <w:rPr>
          <w:rFonts w:ascii="Arial" w:hAnsi="Arial" w:cs="Arial"/>
          <w:sz w:val="24"/>
          <w:szCs w:val="24"/>
        </w:rPr>
        <w:t xml:space="preserve"> talebin ithalatı tetiklemesi</w:t>
      </w:r>
      <w:r w:rsidR="000B4B8E" w:rsidRPr="00585E68">
        <w:rPr>
          <w:rFonts w:ascii="Arial" w:hAnsi="Arial" w:cs="Arial"/>
          <w:sz w:val="24"/>
          <w:szCs w:val="24"/>
          <w:lang w:val="tr-TR"/>
        </w:rPr>
        <w:t xml:space="preserve"> ve yüksek miktardaki altın ithalatı nedeniyle </w:t>
      </w:r>
      <w:r w:rsidR="004647B5" w:rsidRPr="00585E68">
        <w:rPr>
          <w:rFonts w:ascii="Arial" w:hAnsi="Arial" w:cs="Arial"/>
          <w:sz w:val="24"/>
          <w:szCs w:val="24"/>
        </w:rPr>
        <w:t xml:space="preserve">net mal ve hizmet ihracatının büyümeye katkısı -2,6 </w:t>
      </w:r>
      <w:r w:rsidR="009A0356" w:rsidRPr="00585E68">
        <w:rPr>
          <w:rFonts w:ascii="Arial" w:hAnsi="Arial" w:cs="Arial"/>
          <w:sz w:val="24"/>
          <w:szCs w:val="24"/>
          <w:lang w:val="tr-TR"/>
        </w:rPr>
        <w:t xml:space="preserve">puan </w:t>
      </w:r>
      <w:r w:rsidR="004647B5" w:rsidRPr="00585E68">
        <w:rPr>
          <w:rFonts w:ascii="Arial" w:hAnsi="Arial" w:cs="Arial"/>
          <w:sz w:val="24"/>
          <w:szCs w:val="24"/>
        </w:rPr>
        <w:t xml:space="preserve">olarak gerçekleşmiştir. </w:t>
      </w:r>
    </w:p>
    <w:p w:rsidR="00D12C6F" w:rsidRPr="00585E68" w:rsidRDefault="00D12C6F"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lang w:val="tr-TR"/>
        </w:rPr>
        <w:t xml:space="preserve">Altın ticareti </w:t>
      </w:r>
      <w:r w:rsidR="00E87E4B" w:rsidRPr="00585E68">
        <w:rPr>
          <w:rFonts w:ascii="Arial" w:hAnsi="Arial" w:cs="Arial"/>
          <w:sz w:val="24"/>
          <w:szCs w:val="24"/>
          <w:lang w:val="tr-TR"/>
        </w:rPr>
        <w:t xml:space="preserve">hariç </w:t>
      </w:r>
      <w:r w:rsidRPr="00585E68">
        <w:rPr>
          <w:rFonts w:ascii="Arial" w:hAnsi="Arial" w:cs="Arial"/>
          <w:sz w:val="24"/>
          <w:szCs w:val="24"/>
          <w:lang w:val="tr-TR"/>
        </w:rPr>
        <w:t xml:space="preserve">tutulduğunda </w:t>
      </w:r>
      <w:r w:rsidR="001D1F0E" w:rsidRPr="00585E68">
        <w:rPr>
          <w:rFonts w:ascii="Arial" w:hAnsi="Arial" w:cs="Arial"/>
          <w:sz w:val="24"/>
          <w:szCs w:val="24"/>
          <w:lang w:val="tr-TR"/>
        </w:rPr>
        <w:t>ise</w:t>
      </w:r>
      <w:r w:rsidR="009569E2" w:rsidRPr="00585E68">
        <w:rPr>
          <w:rFonts w:ascii="Arial" w:hAnsi="Arial" w:cs="Arial"/>
          <w:sz w:val="24"/>
          <w:szCs w:val="24"/>
          <w:lang w:val="tr-TR"/>
        </w:rPr>
        <w:t>,</w:t>
      </w:r>
      <w:r w:rsidR="001D1F0E" w:rsidRPr="00585E68">
        <w:rPr>
          <w:rFonts w:ascii="Arial" w:hAnsi="Arial" w:cs="Arial"/>
          <w:sz w:val="24"/>
          <w:szCs w:val="24"/>
          <w:lang w:val="tr-TR"/>
        </w:rPr>
        <w:t xml:space="preserve"> </w:t>
      </w:r>
      <w:r w:rsidRPr="00585E68">
        <w:rPr>
          <w:rFonts w:ascii="Arial" w:hAnsi="Arial" w:cs="Arial"/>
          <w:sz w:val="24"/>
          <w:szCs w:val="24"/>
          <w:lang w:val="tr-TR"/>
        </w:rPr>
        <w:t xml:space="preserve">2012 yılında başlayan dengelenme süreci 2013 yılında da </w:t>
      </w:r>
      <w:r w:rsidR="00E87E4B" w:rsidRPr="00585E68">
        <w:rPr>
          <w:rFonts w:ascii="Arial" w:hAnsi="Arial" w:cs="Arial"/>
          <w:sz w:val="24"/>
          <w:szCs w:val="24"/>
          <w:lang w:val="tr-TR"/>
        </w:rPr>
        <w:t>devam etmiş ve net ihracatın büyümeye katkısı</w:t>
      </w:r>
      <w:r w:rsidR="001D1F0E" w:rsidRPr="00585E68">
        <w:rPr>
          <w:rFonts w:ascii="Arial" w:hAnsi="Arial" w:cs="Arial"/>
          <w:sz w:val="24"/>
          <w:szCs w:val="24"/>
          <w:lang w:val="tr-TR"/>
        </w:rPr>
        <w:t xml:space="preserve"> </w:t>
      </w:r>
      <w:r w:rsidR="00CE27A4" w:rsidRPr="00585E68">
        <w:rPr>
          <w:rFonts w:ascii="Arial" w:hAnsi="Arial" w:cs="Arial"/>
          <w:sz w:val="24"/>
          <w:szCs w:val="24"/>
          <w:lang w:val="tr-TR"/>
        </w:rPr>
        <w:t>201</w:t>
      </w:r>
      <w:r w:rsidR="00027136" w:rsidRPr="00585E68">
        <w:rPr>
          <w:rFonts w:ascii="Arial" w:hAnsi="Arial" w:cs="Arial"/>
          <w:sz w:val="24"/>
          <w:szCs w:val="24"/>
          <w:lang w:val="tr-TR"/>
        </w:rPr>
        <w:t>2</w:t>
      </w:r>
      <w:r w:rsidR="00CE27A4" w:rsidRPr="00585E68">
        <w:rPr>
          <w:rFonts w:ascii="Arial" w:hAnsi="Arial" w:cs="Arial"/>
          <w:sz w:val="24"/>
          <w:szCs w:val="24"/>
          <w:lang w:val="tr-TR"/>
        </w:rPr>
        <w:t xml:space="preserve"> yılında 2,3 puan</w:t>
      </w:r>
      <w:r w:rsidR="00027136" w:rsidRPr="00585E68">
        <w:rPr>
          <w:rFonts w:ascii="Arial" w:hAnsi="Arial" w:cs="Arial"/>
          <w:sz w:val="24"/>
          <w:szCs w:val="24"/>
          <w:lang w:val="tr-TR"/>
        </w:rPr>
        <w:t>,</w:t>
      </w:r>
      <w:r w:rsidR="00CE27A4" w:rsidRPr="00585E68">
        <w:rPr>
          <w:rFonts w:ascii="Arial" w:hAnsi="Arial" w:cs="Arial"/>
          <w:sz w:val="24"/>
          <w:szCs w:val="24"/>
          <w:lang w:val="tr-TR"/>
        </w:rPr>
        <w:t xml:space="preserve"> 2013 yılında </w:t>
      </w:r>
      <w:r w:rsidR="00E87E4B" w:rsidRPr="00585E68">
        <w:rPr>
          <w:rFonts w:ascii="Arial" w:hAnsi="Arial" w:cs="Arial"/>
          <w:sz w:val="24"/>
          <w:szCs w:val="24"/>
          <w:lang w:val="tr-TR"/>
        </w:rPr>
        <w:t xml:space="preserve">ise </w:t>
      </w:r>
      <w:r w:rsidR="00CE27A4" w:rsidRPr="00585E68">
        <w:rPr>
          <w:rFonts w:ascii="Arial" w:hAnsi="Arial" w:cs="Arial"/>
          <w:sz w:val="24"/>
          <w:szCs w:val="24"/>
          <w:lang w:val="tr-TR"/>
        </w:rPr>
        <w:t xml:space="preserve">0,6 puan </w:t>
      </w:r>
      <w:r w:rsidR="00027136" w:rsidRPr="00585E68">
        <w:rPr>
          <w:rFonts w:ascii="Arial" w:hAnsi="Arial" w:cs="Arial"/>
          <w:sz w:val="24"/>
          <w:szCs w:val="24"/>
          <w:lang w:val="tr-TR"/>
        </w:rPr>
        <w:t>olarak hesaplanmıştır</w:t>
      </w:r>
      <w:r w:rsidR="00E87E4B" w:rsidRPr="00585E68">
        <w:rPr>
          <w:rStyle w:val="DipnotBavurusu"/>
          <w:rFonts w:ascii="Arial" w:hAnsi="Arial" w:cs="Arial"/>
          <w:sz w:val="24"/>
          <w:szCs w:val="24"/>
          <w:lang w:val="tr-TR"/>
        </w:rPr>
        <w:footnoteReference w:id="2"/>
      </w:r>
      <w:r w:rsidR="00027136" w:rsidRPr="00585E68">
        <w:rPr>
          <w:rFonts w:ascii="Arial" w:hAnsi="Arial" w:cs="Arial"/>
          <w:sz w:val="24"/>
          <w:szCs w:val="24"/>
          <w:lang w:val="tr-TR"/>
        </w:rPr>
        <w:t xml:space="preserve">. </w:t>
      </w:r>
    </w:p>
    <w:p w:rsidR="004647B5" w:rsidRPr="00585E68" w:rsidRDefault="009A0356"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lang w:val="tr-TR"/>
        </w:rPr>
      </w:pPr>
      <w:r w:rsidRPr="00585E68">
        <w:rPr>
          <w:rFonts w:ascii="Arial" w:hAnsi="Arial" w:cs="Arial"/>
          <w:sz w:val="24"/>
          <w:szCs w:val="24"/>
        </w:rPr>
        <w:t xml:space="preserve">2013 yılı sonunda ve 2014 yılı başında özel tüketimi kontrol altına almaya ve </w:t>
      </w:r>
      <w:r w:rsidR="004647B5" w:rsidRPr="00585E68">
        <w:rPr>
          <w:rFonts w:ascii="Arial" w:hAnsi="Arial" w:cs="Arial"/>
          <w:sz w:val="24"/>
          <w:szCs w:val="24"/>
        </w:rPr>
        <w:t xml:space="preserve">cari açığı azaltmaya yönelik </w:t>
      </w:r>
      <w:r w:rsidRPr="00585E68">
        <w:rPr>
          <w:rFonts w:ascii="Arial" w:hAnsi="Arial" w:cs="Arial"/>
          <w:sz w:val="24"/>
          <w:szCs w:val="24"/>
        </w:rPr>
        <w:t xml:space="preserve">olarak </w:t>
      </w:r>
      <w:r w:rsidR="004647B5" w:rsidRPr="00585E68">
        <w:rPr>
          <w:rFonts w:ascii="Arial" w:hAnsi="Arial" w:cs="Arial"/>
          <w:sz w:val="24"/>
          <w:szCs w:val="24"/>
        </w:rPr>
        <w:t xml:space="preserve">alınan </w:t>
      </w:r>
      <w:r w:rsidRPr="00585E68">
        <w:rPr>
          <w:rFonts w:ascii="Arial" w:hAnsi="Arial" w:cs="Arial"/>
          <w:sz w:val="24"/>
          <w:szCs w:val="24"/>
        </w:rPr>
        <w:t>makro</w:t>
      </w:r>
      <w:r w:rsidR="00946D31" w:rsidRPr="00585E68">
        <w:rPr>
          <w:rFonts w:ascii="Arial" w:hAnsi="Arial" w:cs="Arial"/>
          <w:sz w:val="24"/>
          <w:szCs w:val="24"/>
          <w:lang w:val="tr-TR"/>
        </w:rPr>
        <w:t xml:space="preserve"> </w:t>
      </w:r>
      <w:r w:rsidRPr="00585E68">
        <w:rPr>
          <w:rFonts w:ascii="Arial" w:hAnsi="Arial" w:cs="Arial"/>
          <w:sz w:val="24"/>
          <w:szCs w:val="24"/>
        </w:rPr>
        <w:t>ihtiyati tedbirler</w:t>
      </w:r>
      <w:r w:rsidR="004647B5" w:rsidRPr="00585E68">
        <w:rPr>
          <w:rFonts w:ascii="Arial" w:hAnsi="Arial" w:cs="Arial"/>
          <w:sz w:val="24"/>
          <w:szCs w:val="24"/>
        </w:rPr>
        <w:t xml:space="preserve"> neticesinde </w:t>
      </w:r>
      <w:r w:rsidR="00954A03" w:rsidRPr="00585E68">
        <w:rPr>
          <w:rFonts w:ascii="Arial" w:hAnsi="Arial" w:cs="Arial"/>
          <w:sz w:val="24"/>
          <w:szCs w:val="24"/>
        </w:rPr>
        <w:t>yurt içi</w:t>
      </w:r>
      <w:r w:rsidR="004647B5" w:rsidRPr="00585E68">
        <w:rPr>
          <w:rFonts w:ascii="Arial" w:hAnsi="Arial" w:cs="Arial"/>
          <w:sz w:val="24"/>
          <w:szCs w:val="24"/>
        </w:rPr>
        <w:t xml:space="preserve"> talep zayıflama eğilimine girmiş</w:t>
      </w:r>
      <w:r w:rsidRPr="00585E68">
        <w:rPr>
          <w:rFonts w:ascii="Arial" w:hAnsi="Arial" w:cs="Arial"/>
          <w:sz w:val="24"/>
          <w:szCs w:val="24"/>
        </w:rPr>
        <w:t xml:space="preserve">tir. Bu süreçte </w:t>
      </w:r>
      <w:r w:rsidR="00A21C5E" w:rsidRPr="00585E68">
        <w:rPr>
          <w:rFonts w:ascii="Arial" w:hAnsi="Arial" w:cs="Arial"/>
          <w:sz w:val="24"/>
          <w:szCs w:val="24"/>
          <w:lang w:val="tr-TR"/>
        </w:rPr>
        <w:t xml:space="preserve">döviz kurunda ortaya çıkan gelişmelerin de etkisiyle </w:t>
      </w:r>
      <w:r w:rsidRPr="00585E68">
        <w:rPr>
          <w:rFonts w:ascii="Arial" w:hAnsi="Arial" w:cs="Arial"/>
          <w:sz w:val="24"/>
          <w:szCs w:val="24"/>
        </w:rPr>
        <w:t xml:space="preserve">ihracat artış eğilimini korurken ithalat azalmaya başlamış ve net ihracatın </w:t>
      </w:r>
      <w:r w:rsidR="004647B5" w:rsidRPr="00585E68">
        <w:rPr>
          <w:rFonts w:ascii="Arial" w:hAnsi="Arial" w:cs="Arial"/>
          <w:sz w:val="24"/>
          <w:szCs w:val="24"/>
        </w:rPr>
        <w:t>büyümeye katkısı</w:t>
      </w:r>
      <w:r w:rsidR="00F457C0" w:rsidRPr="00585E68">
        <w:rPr>
          <w:rFonts w:ascii="Arial" w:hAnsi="Arial" w:cs="Arial"/>
          <w:sz w:val="24"/>
          <w:szCs w:val="24"/>
          <w:lang w:val="tr-TR"/>
        </w:rPr>
        <w:t xml:space="preserve"> 2014</w:t>
      </w:r>
      <w:r w:rsidR="004647B5" w:rsidRPr="00585E68">
        <w:rPr>
          <w:rFonts w:ascii="Arial" w:hAnsi="Arial" w:cs="Arial"/>
          <w:sz w:val="24"/>
          <w:szCs w:val="24"/>
        </w:rPr>
        <w:t xml:space="preserve"> </w:t>
      </w:r>
      <w:r w:rsidRPr="00585E68">
        <w:rPr>
          <w:rFonts w:ascii="Arial" w:hAnsi="Arial" w:cs="Arial"/>
          <w:sz w:val="24"/>
          <w:szCs w:val="24"/>
        </w:rPr>
        <w:t>yılın</w:t>
      </w:r>
      <w:r w:rsidR="00F457C0" w:rsidRPr="00585E68">
        <w:rPr>
          <w:rFonts w:ascii="Arial" w:hAnsi="Arial" w:cs="Arial"/>
          <w:sz w:val="24"/>
          <w:szCs w:val="24"/>
          <w:lang w:val="tr-TR"/>
        </w:rPr>
        <w:t>ın</w:t>
      </w:r>
      <w:r w:rsidRPr="00585E68">
        <w:rPr>
          <w:rFonts w:ascii="Arial" w:hAnsi="Arial" w:cs="Arial"/>
          <w:sz w:val="24"/>
          <w:szCs w:val="24"/>
        </w:rPr>
        <w:t xml:space="preserve"> ilk yarısında </w:t>
      </w:r>
      <w:r w:rsidR="004647B5" w:rsidRPr="00585E68">
        <w:rPr>
          <w:rFonts w:ascii="Arial" w:hAnsi="Arial" w:cs="Arial"/>
          <w:sz w:val="24"/>
          <w:szCs w:val="24"/>
        </w:rPr>
        <w:t xml:space="preserve">2,7 puan olarak kaydedilmiştir. </w:t>
      </w:r>
      <w:r w:rsidRPr="00585E68">
        <w:rPr>
          <w:rFonts w:ascii="Arial" w:hAnsi="Arial" w:cs="Arial"/>
          <w:sz w:val="24"/>
          <w:szCs w:val="24"/>
        </w:rPr>
        <w:t>Yılın i</w:t>
      </w:r>
      <w:r w:rsidR="004647B5" w:rsidRPr="00585E68">
        <w:rPr>
          <w:rFonts w:ascii="Arial" w:hAnsi="Arial" w:cs="Arial"/>
          <w:sz w:val="24"/>
          <w:szCs w:val="24"/>
        </w:rPr>
        <w:t>lk altı ay</w:t>
      </w:r>
      <w:r w:rsidRPr="00585E68">
        <w:rPr>
          <w:rFonts w:ascii="Arial" w:hAnsi="Arial" w:cs="Arial"/>
          <w:sz w:val="24"/>
          <w:szCs w:val="24"/>
        </w:rPr>
        <w:t>ında</w:t>
      </w:r>
      <w:r w:rsidR="004647B5" w:rsidRPr="00585E68">
        <w:rPr>
          <w:rFonts w:ascii="Arial" w:hAnsi="Arial" w:cs="Arial"/>
          <w:sz w:val="24"/>
          <w:szCs w:val="24"/>
        </w:rPr>
        <w:t xml:space="preserve"> yüzde 3,3 oranında </w:t>
      </w:r>
      <w:r w:rsidRPr="00585E68">
        <w:rPr>
          <w:rFonts w:ascii="Arial" w:hAnsi="Arial" w:cs="Arial"/>
          <w:sz w:val="24"/>
          <w:szCs w:val="24"/>
        </w:rPr>
        <w:t xml:space="preserve">kaydedilen </w:t>
      </w:r>
      <w:r w:rsidR="004647B5" w:rsidRPr="00585E68">
        <w:rPr>
          <w:rFonts w:ascii="Arial" w:hAnsi="Arial" w:cs="Arial"/>
          <w:sz w:val="24"/>
          <w:szCs w:val="24"/>
        </w:rPr>
        <w:t>büyümenin ardından yılın ikinci yarısında</w:t>
      </w:r>
      <w:r w:rsidR="00F457C0" w:rsidRPr="00585E68">
        <w:rPr>
          <w:rFonts w:ascii="Arial" w:hAnsi="Arial" w:cs="Arial"/>
          <w:sz w:val="24"/>
          <w:szCs w:val="24"/>
          <w:lang w:val="tr-TR"/>
        </w:rPr>
        <w:t xml:space="preserve"> hem </w:t>
      </w:r>
      <w:r w:rsidR="004647B5" w:rsidRPr="00585E68">
        <w:rPr>
          <w:rFonts w:ascii="Arial" w:hAnsi="Arial" w:cs="Arial"/>
          <w:sz w:val="24"/>
          <w:szCs w:val="24"/>
        </w:rPr>
        <w:t xml:space="preserve">net mal ve hizmet ihracatının </w:t>
      </w:r>
      <w:r w:rsidR="00F457C0" w:rsidRPr="00585E68">
        <w:rPr>
          <w:rFonts w:ascii="Arial" w:hAnsi="Arial" w:cs="Arial"/>
          <w:sz w:val="24"/>
          <w:szCs w:val="24"/>
          <w:lang w:val="tr-TR"/>
        </w:rPr>
        <w:t xml:space="preserve">hem de </w:t>
      </w:r>
      <w:r w:rsidR="004647B5" w:rsidRPr="00585E68">
        <w:rPr>
          <w:rFonts w:ascii="Arial" w:hAnsi="Arial" w:cs="Arial"/>
          <w:sz w:val="24"/>
          <w:szCs w:val="24"/>
        </w:rPr>
        <w:t>nihai yurt içi talebin</w:t>
      </w:r>
      <w:r w:rsidR="00F457C0" w:rsidRPr="00585E68">
        <w:rPr>
          <w:rFonts w:ascii="Arial" w:hAnsi="Arial" w:cs="Arial"/>
          <w:sz w:val="24"/>
          <w:szCs w:val="24"/>
          <w:lang w:val="tr-TR"/>
        </w:rPr>
        <w:t xml:space="preserve"> büyümeye </w:t>
      </w:r>
      <w:r w:rsidR="004647B5" w:rsidRPr="00585E68">
        <w:rPr>
          <w:rFonts w:ascii="Arial" w:hAnsi="Arial" w:cs="Arial"/>
          <w:sz w:val="24"/>
          <w:szCs w:val="24"/>
        </w:rPr>
        <w:t xml:space="preserve">pozitif </w:t>
      </w:r>
      <w:r w:rsidR="00F457C0" w:rsidRPr="00585E68">
        <w:rPr>
          <w:rFonts w:ascii="Arial" w:hAnsi="Arial" w:cs="Arial"/>
          <w:sz w:val="24"/>
          <w:szCs w:val="24"/>
          <w:lang w:val="tr-TR"/>
        </w:rPr>
        <w:t xml:space="preserve">katkı vermeye devam etmesi </w:t>
      </w:r>
      <w:r w:rsidR="004647B5" w:rsidRPr="00585E68">
        <w:rPr>
          <w:rFonts w:ascii="Arial" w:hAnsi="Arial" w:cs="Arial"/>
          <w:sz w:val="24"/>
          <w:szCs w:val="24"/>
        </w:rPr>
        <w:t>öngörülmektedir</w:t>
      </w:r>
      <w:r w:rsidR="0087141C" w:rsidRPr="00585E68">
        <w:rPr>
          <w:rFonts w:ascii="Arial" w:hAnsi="Arial" w:cs="Arial"/>
          <w:sz w:val="24"/>
          <w:szCs w:val="24"/>
          <w:lang w:val="tr-TR"/>
        </w:rPr>
        <w:t>. Yılın ikinci yarısında sanayi üretiminin ılımlı bir artış eğiliminde seyretmesi, tarımsal üretimin ise olumsuz hava koşulları nedeniyle azalması beklenmektedir.</w:t>
      </w:r>
      <w:r w:rsidR="006B61A5" w:rsidRPr="00585E68">
        <w:rPr>
          <w:rFonts w:ascii="Arial" w:hAnsi="Arial" w:cs="Arial"/>
          <w:sz w:val="24"/>
          <w:szCs w:val="24"/>
        </w:rPr>
        <w:t xml:space="preserve"> B</w:t>
      </w:r>
      <w:r w:rsidR="006B61A5" w:rsidRPr="00585E68">
        <w:rPr>
          <w:rFonts w:ascii="Arial" w:hAnsi="Arial" w:cs="Arial"/>
          <w:sz w:val="24"/>
          <w:szCs w:val="24"/>
          <w:lang w:val="tr-TR"/>
        </w:rPr>
        <w:t>u gelişmeler ve öngörüler altında</w:t>
      </w:r>
      <w:r w:rsidR="004647B5" w:rsidRPr="00585E68">
        <w:rPr>
          <w:rFonts w:ascii="Arial" w:hAnsi="Arial" w:cs="Arial"/>
          <w:sz w:val="24"/>
          <w:szCs w:val="24"/>
        </w:rPr>
        <w:t>, 2014 yılında GSYH büyümesinin yüzde 3,3 olacağı tahmin edilmektedir.</w:t>
      </w:r>
    </w:p>
    <w:p w:rsidR="006F19DD" w:rsidRPr="00585E68" w:rsidRDefault="007A47EA"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lang w:val="tr-TR"/>
        </w:rPr>
        <w:t xml:space="preserve">2013 yılında yüzde </w:t>
      </w:r>
      <w:r w:rsidR="00ED0163">
        <w:rPr>
          <w:rFonts w:ascii="Arial" w:hAnsi="Arial" w:cs="Arial"/>
          <w:sz w:val="24"/>
          <w:szCs w:val="24"/>
          <w:lang w:val="tr-TR"/>
        </w:rPr>
        <w:t>9,9</w:t>
      </w:r>
      <w:r w:rsidRPr="00585E68">
        <w:rPr>
          <w:rFonts w:ascii="Arial" w:hAnsi="Arial" w:cs="Arial"/>
          <w:sz w:val="24"/>
          <w:szCs w:val="24"/>
          <w:lang w:val="tr-TR"/>
        </w:rPr>
        <w:t>’a kadar gerileyen özel kesim tasarruf oranının, ö</w:t>
      </w:r>
      <w:r w:rsidR="006F19DD" w:rsidRPr="00585E68">
        <w:rPr>
          <w:rFonts w:ascii="Arial" w:hAnsi="Arial" w:cs="Arial"/>
          <w:sz w:val="24"/>
          <w:szCs w:val="24"/>
          <w:lang w:val="tr-TR"/>
        </w:rPr>
        <w:t xml:space="preserve">zel tüketimdeki yavaşlama nedeniyle, </w:t>
      </w:r>
      <w:r w:rsidR="006F19DD" w:rsidRPr="00585E68">
        <w:rPr>
          <w:rFonts w:ascii="Arial" w:hAnsi="Arial" w:cs="Arial"/>
          <w:sz w:val="24"/>
          <w:szCs w:val="24"/>
        </w:rPr>
        <w:t>201</w:t>
      </w:r>
      <w:r w:rsidR="006F19DD" w:rsidRPr="00585E68">
        <w:rPr>
          <w:rFonts w:ascii="Arial" w:hAnsi="Arial" w:cs="Arial"/>
          <w:sz w:val="24"/>
          <w:szCs w:val="24"/>
          <w:lang w:val="tr-TR"/>
        </w:rPr>
        <w:t>4</w:t>
      </w:r>
      <w:r w:rsidR="006F19DD" w:rsidRPr="00585E68">
        <w:rPr>
          <w:rFonts w:ascii="Arial" w:hAnsi="Arial" w:cs="Arial"/>
          <w:sz w:val="24"/>
          <w:szCs w:val="24"/>
        </w:rPr>
        <w:t xml:space="preserve"> yılında </w:t>
      </w:r>
      <w:r w:rsidR="006C7969" w:rsidRPr="00585E68">
        <w:rPr>
          <w:rFonts w:ascii="Arial" w:hAnsi="Arial" w:cs="Arial"/>
          <w:sz w:val="24"/>
          <w:szCs w:val="24"/>
          <w:lang w:val="tr-TR"/>
        </w:rPr>
        <w:t>1,</w:t>
      </w:r>
      <w:r w:rsidR="008315A1">
        <w:rPr>
          <w:rFonts w:ascii="Arial" w:hAnsi="Arial" w:cs="Arial"/>
          <w:sz w:val="24"/>
          <w:szCs w:val="24"/>
          <w:lang w:val="tr-TR"/>
        </w:rPr>
        <w:t>8</w:t>
      </w:r>
      <w:r w:rsidR="00AA5E71" w:rsidRPr="00585E68">
        <w:rPr>
          <w:rFonts w:ascii="Arial" w:hAnsi="Arial" w:cs="Arial"/>
          <w:sz w:val="24"/>
          <w:szCs w:val="24"/>
          <w:lang w:val="tr-TR"/>
        </w:rPr>
        <w:t xml:space="preserve"> </w:t>
      </w:r>
      <w:r w:rsidR="006C7969" w:rsidRPr="00585E68">
        <w:rPr>
          <w:rFonts w:ascii="Arial" w:hAnsi="Arial" w:cs="Arial"/>
          <w:sz w:val="24"/>
          <w:szCs w:val="24"/>
          <w:lang w:val="tr-TR"/>
        </w:rPr>
        <w:t xml:space="preserve">puan </w:t>
      </w:r>
      <w:r w:rsidR="006F19DD" w:rsidRPr="00585E68">
        <w:rPr>
          <w:rFonts w:ascii="Arial" w:hAnsi="Arial" w:cs="Arial"/>
          <w:sz w:val="24"/>
          <w:szCs w:val="24"/>
          <w:lang w:val="tr-TR"/>
        </w:rPr>
        <w:t>yükse</w:t>
      </w:r>
      <w:proofErr w:type="spellStart"/>
      <w:r w:rsidR="006F19DD" w:rsidRPr="00585E68">
        <w:rPr>
          <w:rFonts w:ascii="Arial" w:hAnsi="Arial" w:cs="Arial"/>
          <w:sz w:val="24"/>
          <w:szCs w:val="24"/>
        </w:rPr>
        <w:t>lmesi</w:t>
      </w:r>
      <w:proofErr w:type="spellEnd"/>
      <w:r w:rsidR="006F19DD" w:rsidRPr="00585E68">
        <w:rPr>
          <w:rFonts w:ascii="Arial" w:hAnsi="Arial" w:cs="Arial"/>
          <w:sz w:val="24"/>
          <w:szCs w:val="24"/>
        </w:rPr>
        <w:t xml:space="preserve"> beklenmektedir. </w:t>
      </w:r>
      <w:r w:rsidR="006C7969" w:rsidRPr="00585E68">
        <w:rPr>
          <w:rFonts w:ascii="Arial" w:hAnsi="Arial" w:cs="Arial"/>
          <w:sz w:val="24"/>
          <w:szCs w:val="24"/>
        </w:rPr>
        <w:lastRenderedPageBreak/>
        <w:t>K</w:t>
      </w:r>
      <w:r w:rsidR="006F19DD" w:rsidRPr="00585E68">
        <w:rPr>
          <w:rFonts w:ascii="Arial" w:hAnsi="Arial" w:cs="Arial"/>
          <w:sz w:val="24"/>
          <w:szCs w:val="24"/>
        </w:rPr>
        <w:t>amu kesimi tasarruf oranı</w:t>
      </w:r>
      <w:r w:rsidR="006C7969" w:rsidRPr="00585E68">
        <w:rPr>
          <w:rFonts w:ascii="Arial" w:hAnsi="Arial" w:cs="Arial"/>
          <w:sz w:val="24"/>
          <w:szCs w:val="24"/>
          <w:lang w:val="tr-TR"/>
        </w:rPr>
        <w:t>nın ise</w:t>
      </w:r>
      <w:r w:rsidR="00834BCA">
        <w:rPr>
          <w:rFonts w:ascii="Arial" w:hAnsi="Arial" w:cs="Arial"/>
          <w:sz w:val="24"/>
          <w:szCs w:val="24"/>
          <w:lang w:val="tr-TR"/>
        </w:rPr>
        <w:t>,</w:t>
      </w:r>
      <w:r w:rsidR="006F19DD" w:rsidRPr="00585E68">
        <w:rPr>
          <w:rFonts w:ascii="Arial" w:hAnsi="Arial" w:cs="Arial"/>
          <w:sz w:val="24"/>
          <w:szCs w:val="24"/>
          <w:lang w:val="tr-TR"/>
        </w:rPr>
        <w:t xml:space="preserve"> </w:t>
      </w:r>
      <w:r w:rsidR="006F19DD" w:rsidRPr="00585E68">
        <w:rPr>
          <w:rFonts w:ascii="Arial" w:hAnsi="Arial" w:cs="Arial"/>
          <w:sz w:val="24"/>
          <w:szCs w:val="24"/>
        </w:rPr>
        <w:t>201</w:t>
      </w:r>
      <w:r w:rsidR="006F19DD" w:rsidRPr="00585E68">
        <w:rPr>
          <w:rFonts w:ascii="Arial" w:hAnsi="Arial" w:cs="Arial"/>
          <w:sz w:val="24"/>
          <w:szCs w:val="24"/>
          <w:lang w:val="tr-TR"/>
        </w:rPr>
        <w:t>4</w:t>
      </w:r>
      <w:r w:rsidR="006F19DD" w:rsidRPr="00585E68">
        <w:rPr>
          <w:rFonts w:ascii="Arial" w:hAnsi="Arial" w:cs="Arial"/>
          <w:sz w:val="24"/>
          <w:szCs w:val="24"/>
        </w:rPr>
        <w:t xml:space="preserve"> yılında</w:t>
      </w:r>
      <w:r w:rsidR="006F19DD" w:rsidRPr="00585E68">
        <w:rPr>
          <w:rFonts w:ascii="Arial" w:hAnsi="Arial" w:cs="Arial"/>
          <w:sz w:val="24"/>
          <w:szCs w:val="24"/>
          <w:lang w:val="tr-TR"/>
        </w:rPr>
        <w:t xml:space="preserve"> kamu harcanabilir gelirindeki reel artışın büyüme hızının altında kalmasının etkisiyle</w:t>
      </w:r>
      <w:r w:rsidR="00834BCA">
        <w:rPr>
          <w:rFonts w:ascii="Arial" w:hAnsi="Arial" w:cs="Arial"/>
          <w:sz w:val="24"/>
          <w:szCs w:val="24"/>
          <w:lang w:val="tr-TR"/>
        </w:rPr>
        <w:t>,</w:t>
      </w:r>
      <w:r w:rsidR="006C7969" w:rsidRPr="00585E68">
        <w:rPr>
          <w:rFonts w:ascii="Arial" w:hAnsi="Arial" w:cs="Arial"/>
          <w:sz w:val="24"/>
          <w:szCs w:val="24"/>
          <w:lang w:val="tr-TR"/>
        </w:rPr>
        <w:t xml:space="preserve"> 0,</w:t>
      </w:r>
      <w:r w:rsidR="00ED0163">
        <w:rPr>
          <w:rFonts w:ascii="Arial" w:hAnsi="Arial" w:cs="Arial"/>
          <w:sz w:val="24"/>
          <w:szCs w:val="24"/>
          <w:lang w:val="tr-TR"/>
        </w:rPr>
        <w:t>2</w:t>
      </w:r>
      <w:r w:rsidR="00AA5E71" w:rsidRPr="00585E68">
        <w:rPr>
          <w:rFonts w:ascii="Arial" w:hAnsi="Arial" w:cs="Arial"/>
          <w:sz w:val="24"/>
          <w:szCs w:val="24"/>
          <w:lang w:val="tr-TR"/>
        </w:rPr>
        <w:t xml:space="preserve"> </w:t>
      </w:r>
      <w:r w:rsidR="006C7969" w:rsidRPr="00585E68">
        <w:rPr>
          <w:rFonts w:ascii="Arial" w:hAnsi="Arial" w:cs="Arial"/>
          <w:sz w:val="24"/>
          <w:szCs w:val="24"/>
          <w:lang w:val="tr-TR"/>
        </w:rPr>
        <w:t xml:space="preserve">puan </w:t>
      </w:r>
      <w:r w:rsidR="006F19DD" w:rsidRPr="00585E68">
        <w:rPr>
          <w:rFonts w:ascii="Arial" w:hAnsi="Arial" w:cs="Arial"/>
          <w:sz w:val="24"/>
          <w:szCs w:val="24"/>
          <w:lang w:val="tr-TR"/>
        </w:rPr>
        <w:t xml:space="preserve">gerilemesi </w:t>
      </w:r>
      <w:r w:rsidR="006F19DD" w:rsidRPr="00585E68">
        <w:rPr>
          <w:rFonts w:ascii="Arial" w:hAnsi="Arial" w:cs="Arial"/>
          <w:sz w:val="24"/>
          <w:szCs w:val="24"/>
        </w:rPr>
        <w:t>öngörülmektedir.</w:t>
      </w:r>
      <w:r w:rsidR="006F19DD" w:rsidRPr="00585E68">
        <w:rPr>
          <w:rFonts w:ascii="Arial" w:hAnsi="Arial" w:cs="Arial"/>
          <w:sz w:val="24"/>
          <w:szCs w:val="24"/>
          <w:lang w:val="tr-TR"/>
        </w:rPr>
        <w:t xml:space="preserve"> </w:t>
      </w:r>
      <w:r w:rsidR="006C7969" w:rsidRPr="00585E68">
        <w:rPr>
          <w:rFonts w:ascii="Arial" w:hAnsi="Arial" w:cs="Arial"/>
          <w:sz w:val="24"/>
          <w:szCs w:val="24"/>
          <w:lang w:val="tr-TR"/>
        </w:rPr>
        <w:t>Böylece, t</w:t>
      </w:r>
      <w:proofErr w:type="spellStart"/>
      <w:r w:rsidR="006F19DD" w:rsidRPr="00585E68">
        <w:rPr>
          <w:rFonts w:ascii="Arial" w:hAnsi="Arial" w:cs="Arial"/>
          <w:sz w:val="24"/>
          <w:szCs w:val="24"/>
        </w:rPr>
        <w:t>oplam</w:t>
      </w:r>
      <w:proofErr w:type="spellEnd"/>
      <w:r w:rsidR="006F19DD" w:rsidRPr="00585E68">
        <w:rPr>
          <w:rFonts w:ascii="Arial" w:hAnsi="Arial" w:cs="Arial"/>
          <w:sz w:val="24"/>
          <w:szCs w:val="24"/>
        </w:rPr>
        <w:t xml:space="preserve"> yurt içi tasarruf oranının bir önceki yıla göre </w:t>
      </w:r>
      <w:r w:rsidR="006F19DD" w:rsidRPr="00585E68">
        <w:rPr>
          <w:rFonts w:ascii="Arial" w:hAnsi="Arial" w:cs="Arial"/>
          <w:sz w:val="24"/>
          <w:szCs w:val="24"/>
          <w:lang w:val="tr-TR"/>
        </w:rPr>
        <w:t>1,</w:t>
      </w:r>
      <w:r w:rsidR="00ED0163">
        <w:rPr>
          <w:rFonts w:ascii="Arial" w:hAnsi="Arial" w:cs="Arial"/>
          <w:sz w:val="24"/>
          <w:szCs w:val="24"/>
          <w:lang w:val="tr-TR"/>
        </w:rPr>
        <w:t>5</w:t>
      </w:r>
      <w:r w:rsidR="006F19DD" w:rsidRPr="00585E68">
        <w:rPr>
          <w:rFonts w:ascii="Arial" w:hAnsi="Arial" w:cs="Arial"/>
          <w:sz w:val="24"/>
          <w:szCs w:val="24"/>
        </w:rPr>
        <w:t xml:space="preserve"> puan </w:t>
      </w:r>
      <w:r w:rsidR="006F19DD" w:rsidRPr="00585E68">
        <w:rPr>
          <w:rFonts w:ascii="Arial" w:hAnsi="Arial" w:cs="Arial"/>
          <w:sz w:val="24"/>
          <w:szCs w:val="24"/>
          <w:lang w:val="tr-TR"/>
        </w:rPr>
        <w:t>artarak</w:t>
      </w:r>
      <w:r w:rsidR="006F19DD" w:rsidRPr="00585E68">
        <w:rPr>
          <w:rFonts w:ascii="Arial" w:hAnsi="Arial" w:cs="Arial"/>
          <w:sz w:val="24"/>
          <w:szCs w:val="24"/>
        </w:rPr>
        <w:t xml:space="preserve"> 201</w:t>
      </w:r>
      <w:r w:rsidR="006F19DD" w:rsidRPr="00585E68">
        <w:rPr>
          <w:rFonts w:ascii="Arial" w:hAnsi="Arial" w:cs="Arial"/>
          <w:sz w:val="24"/>
          <w:szCs w:val="24"/>
          <w:lang w:val="tr-TR"/>
        </w:rPr>
        <w:t>4</w:t>
      </w:r>
      <w:r w:rsidR="006F19DD" w:rsidRPr="00585E68">
        <w:rPr>
          <w:rFonts w:ascii="Arial" w:hAnsi="Arial" w:cs="Arial"/>
          <w:sz w:val="24"/>
          <w:szCs w:val="24"/>
        </w:rPr>
        <w:t xml:space="preserve"> yılında yüzde 1</w:t>
      </w:r>
      <w:r w:rsidR="00ED0163">
        <w:rPr>
          <w:rFonts w:ascii="Arial" w:hAnsi="Arial" w:cs="Arial"/>
          <w:sz w:val="24"/>
          <w:szCs w:val="24"/>
          <w:lang w:val="tr-TR"/>
        </w:rPr>
        <w:t>4,9</w:t>
      </w:r>
      <w:r w:rsidR="006F19DD" w:rsidRPr="00585E68">
        <w:rPr>
          <w:rFonts w:ascii="Arial" w:hAnsi="Arial" w:cs="Arial"/>
          <w:sz w:val="24"/>
          <w:szCs w:val="24"/>
        </w:rPr>
        <w:t xml:space="preserve"> olacağı tahmin edilmektedir. </w:t>
      </w:r>
    </w:p>
    <w:p w:rsidR="00B400B0" w:rsidRPr="0010769B" w:rsidRDefault="006C796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lang w:val="tr-TR"/>
        </w:rPr>
        <w:t>2014 yılında</w:t>
      </w:r>
      <w:r w:rsidR="00CB4103">
        <w:rPr>
          <w:rFonts w:ascii="Arial" w:hAnsi="Arial" w:cs="Arial"/>
          <w:sz w:val="24"/>
          <w:szCs w:val="24"/>
          <w:lang w:val="tr-TR"/>
        </w:rPr>
        <w:t>,</w:t>
      </w:r>
      <w:r w:rsidRPr="00585E68">
        <w:rPr>
          <w:rFonts w:ascii="Arial" w:hAnsi="Arial" w:cs="Arial"/>
          <w:sz w:val="24"/>
          <w:szCs w:val="24"/>
          <w:lang w:val="tr-TR"/>
        </w:rPr>
        <w:t xml:space="preserve"> </w:t>
      </w:r>
      <w:proofErr w:type="spellStart"/>
      <w:r w:rsidR="00CB4103" w:rsidRPr="00585E68">
        <w:rPr>
          <w:rFonts w:ascii="Arial" w:hAnsi="Arial" w:cs="Arial"/>
          <w:sz w:val="24"/>
          <w:szCs w:val="24"/>
          <w:lang w:val="tr-TR"/>
        </w:rPr>
        <w:t>GSYH</w:t>
      </w:r>
      <w:r w:rsidR="00CB4103">
        <w:rPr>
          <w:rFonts w:ascii="Arial" w:hAnsi="Arial" w:cs="Arial"/>
          <w:sz w:val="24"/>
          <w:szCs w:val="24"/>
          <w:lang w:val="tr-TR"/>
        </w:rPr>
        <w:t>’ya</w:t>
      </w:r>
      <w:proofErr w:type="spellEnd"/>
      <w:r w:rsidR="00CB4103" w:rsidRPr="00585E68">
        <w:rPr>
          <w:rFonts w:ascii="Arial" w:hAnsi="Arial" w:cs="Arial"/>
          <w:sz w:val="24"/>
          <w:szCs w:val="24"/>
          <w:lang w:val="tr-TR"/>
        </w:rPr>
        <w:t xml:space="preserve"> </w:t>
      </w:r>
      <w:r w:rsidR="00CB4103">
        <w:rPr>
          <w:rFonts w:ascii="Arial" w:hAnsi="Arial" w:cs="Arial"/>
          <w:sz w:val="24"/>
          <w:szCs w:val="24"/>
          <w:lang w:val="tr-TR"/>
        </w:rPr>
        <w:t xml:space="preserve">oran olarak, </w:t>
      </w:r>
      <w:r w:rsidRPr="00585E68">
        <w:rPr>
          <w:rFonts w:ascii="Arial" w:hAnsi="Arial" w:cs="Arial"/>
          <w:sz w:val="24"/>
          <w:szCs w:val="24"/>
          <w:lang w:val="tr-TR"/>
        </w:rPr>
        <w:t>özel kesim tasarruflarının artmasına rağmen özel yatırımların azalması</w:t>
      </w:r>
      <w:r w:rsidR="00CB4103">
        <w:rPr>
          <w:rFonts w:ascii="Arial" w:hAnsi="Arial" w:cs="Arial"/>
          <w:sz w:val="24"/>
          <w:szCs w:val="24"/>
          <w:lang w:val="tr-TR"/>
        </w:rPr>
        <w:t>;</w:t>
      </w:r>
      <w:r w:rsidRPr="00585E68">
        <w:rPr>
          <w:rFonts w:ascii="Arial" w:hAnsi="Arial" w:cs="Arial"/>
          <w:sz w:val="24"/>
          <w:szCs w:val="24"/>
          <w:lang w:val="tr-TR"/>
        </w:rPr>
        <w:t xml:space="preserve"> kamu kesiminde ise tasarruf oranının düşmesine rağmen yatırımların </w:t>
      </w:r>
      <w:r w:rsidR="00AA5E71" w:rsidRPr="00585E68">
        <w:rPr>
          <w:rFonts w:ascii="Arial" w:hAnsi="Arial" w:cs="Arial"/>
          <w:sz w:val="24"/>
          <w:szCs w:val="24"/>
          <w:lang w:val="tr-TR"/>
        </w:rPr>
        <w:t xml:space="preserve">yaklaşık olarak </w:t>
      </w:r>
      <w:r w:rsidRPr="00585E68">
        <w:rPr>
          <w:rFonts w:ascii="Arial" w:hAnsi="Arial" w:cs="Arial"/>
          <w:sz w:val="24"/>
          <w:szCs w:val="24"/>
          <w:lang w:val="tr-TR"/>
        </w:rPr>
        <w:t xml:space="preserve">bir önceki yıl seviyesini koruması beklenmektedir. Böylece, özel sektörde tasarruf yatırım </w:t>
      </w:r>
      <w:r w:rsidR="00E55A5F" w:rsidRPr="00585E68">
        <w:rPr>
          <w:rFonts w:ascii="Arial" w:hAnsi="Arial" w:cs="Arial"/>
          <w:sz w:val="24"/>
          <w:szCs w:val="24"/>
          <w:lang w:val="tr-TR"/>
        </w:rPr>
        <w:t xml:space="preserve">açığının </w:t>
      </w:r>
      <w:r w:rsidRPr="00585E68">
        <w:rPr>
          <w:rFonts w:ascii="Arial" w:hAnsi="Arial" w:cs="Arial"/>
          <w:sz w:val="24"/>
          <w:szCs w:val="24"/>
          <w:lang w:val="tr-TR"/>
        </w:rPr>
        <w:t xml:space="preserve">azalması, kamuda </w:t>
      </w:r>
      <w:r w:rsidR="00834BCA">
        <w:rPr>
          <w:rFonts w:ascii="Arial" w:hAnsi="Arial" w:cs="Arial"/>
          <w:sz w:val="24"/>
          <w:szCs w:val="24"/>
          <w:lang w:val="tr-TR"/>
        </w:rPr>
        <w:t xml:space="preserve">ise </w:t>
      </w:r>
      <w:r w:rsidRPr="00585E68">
        <w:rPr>
          <w:rFonts w:ascii="Arial" w:hAnsi="Arial" w:cs="Arial"/>
          <w:sz w:val="24"/>
          <w:szCs w:val="24"/>
          <w:lang w:val="tr-TR"/>
        </w:rPr>
        <w:t xml:space="preserve">artması öngörülmektedir. </w:t>
      </w:r>
    </w:p>
    <w:p w:rsidR="00347277" w:rsidRPr="00585E68" w:rsidRDefault="00B400B0"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Son yıllarda, büyümenin düşük veya negatif olduğu yıllar hariç tutulduğunda, tasarruf</w:t>
      </w:r>
      <w:r w:rsidR="00CB4103">
        <w:rPr>
          <w:rFonts w:ascii="Arial" w:hAnsi="Arial" w:cs="Arial"/>
          <w:sz w:val="24"/>
          <w:szCs w:val="24"/>
          <w:lang w:val="tr-TR"/>
        </w:rPr>
        <w:t xml:space="preserve"> </w:t>
      </w:r>
      <w:r w:rsidRPr="00585E68">
        <w:rPr>
          <w:rFonts w:ascii="Arial" w:hAnsi="Arial" w:cs="Arial"/>
          <w:sz w:val="24"/>
          <w:szCs w:val="24"/>
        </w:rPr>
        <w:t>yatırım açığı genel olarak artış eğiliminde</w:t>
      </w:r>
      <w:r w:rsidR="00CB4103">
        <w:rPr>
          <w:rFonts w:ascii="Arial" w:hAnsi="Arial" w:cs="Arial"/>
          <w:sz w:val="24"/>
          <w:szCs w:val="24"/>
          <w:lang w:val="tr-TR"/>
        </w:rPr>
        <w:t>dir.</w:t>
      </w:r>
      <w:r w:rsidRPr="00585E68">
        <w:rPr>
          <w:rFonts w:ascii="Arial" w:hAnsi="Arial" w:cs="Arial"/>
          <w:sz w:val="24"/>
          <w:szCs w:val="24"/>
        </w:rPr>
        <w:t xml:space="preserve"> Bu eğilimin temel belirleyicisi özel kesim tasarruf oranlarındaki azalmadır.</w:t>
      </w:r>
      <w:r w:rsidR="00347277" w:rsidRPr="00585E68">
        <w:rPr>
          <w:rFonts w:ascii="Arial" w:hAnsi="Arial" w:cs="Arial"/>
          <w:sz w:val="24"/>
          <w:szCs w:val="24"/>
          <w:lang w:val="tr-TR"/>
        </w:rPr>
        <w:t xml:space="preserve"> Yüksek ve sürdürülebilir büyüme ve bunun sağlıklı finansmanı açısından </w:t>
      </w:r>
      <w:r w:rsidR="00CB4103" w:rsidRPr="00585E68">
        <w:rPr>
          <w:rFonts w:ascii="Arial" w:hAnsi="Arial" w:cs="Arial"/>
          <w:sz w:val="24"/>
          <w:szCs w:val="24"/>
          <w:lang w:val="tr-TR"/>
        </w:rPr>
        <w:t xml:space="preserve">özel tasarruflar </w:t>
      </w:r>
      <w:r w:rsidR="00347277" w:rsidRPr="00585E68">
        <w:rPr>
          <w:rFonts w:ascii="Arial" w:hAnsi="Arial" w:cs="Arial"/>
          <w:sz w:val="24"/>
          <w:szCs w:val="24"/>
          <w:lang w:val="tr-TR"/>
        </w:rPr>
        <w:t>hayati öneme sahip</w:t>
      </w:r>
      <w:r w:rsidR="00CB4103">
        <w:rPr>
          <w:rFonts w:ascii="Arial" w:hAnsi="Arial" w:cs="Arial"/>
          <w:sz w:val="24"/>
          <w:szCs w:val="24"/>
          <w:lang w:val="tr-TR"/>
        </w:rPr>
        <w:t>tir. Özel tasarrufların</w:t>
      </w:r>
      <w:r w:rsidR="00347277" w:rsidRPr="00585E68">
        <w:rPr>
          <w:rFonts w:ascii="Arial" w:hAnsi="Arial" w:cs="Arial"/>
          <w:sz w:val="24"/>
          <w:szCs w:val="24"/>
          <w:lang w:val="tr-TR"/>
        </w:rPr>
        <w:t xml:space="preserve"> </w:t>
      </w:r>
      <w:r w:rsidR="00CB4103">
        <w:rPr>
          <w:rFonts w:ascii="Arial" w:hAnsi="Arial" w:cs="Arial"/>
          <w:sz w:val="24"/>
          <w:szCs w:val="24"/>
          <w:lang w:val="tr-TR"/>
        </w:rPr>
        <w:t xml:space="preserve">yetersiz olması </w:t>
      </w:r>
      <w:r w:rsidR="00347277" w:rsidRPr="00585E68">
        <w:rPr>
          <w:rFonts w:ascii="Arial" w:hAnsi="Arial" w:cs="Arial"/>
          <w:sz w:val="24"/>
          <w:szCs w:val="24"/>
          <w:lang w:val="tr-TR"/>
        </w:rPr>
        <w:t xml:space="preserve">ve bunun sonucunda özel sabit sermaye yatırımlarının zayıf performansı büyüme potansiyelini aşağı çekmektedir. </w:t>
      </w:r>
    </w:p>
    <w:p w:rsidR="009031DB" w:rsidRPr="00585E68" w:rsidRDefault="00D8695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proofErr w:type="spellStart"/>
      <w:r w:rsidRPr="0010769B">
        <w:rPr>
          <w:rFonts w:ascii="Arial" w:hAnsi="Arial" w:cs="Arial"/>
          <w:sz w:val="24"/>
          <w:szCs w:val="24"/>
        </w:rPr>
        <w:t>H</w:t>
      </w:r>
      <w:r>
        <w:rPr>
          <w:rFonts w:ascii="Arial" w:hAnsi="Arial" w:cs="Arial"/>
          <w:sz w:val="24"/>
          <w:szCs w:val="24"/>
          <w:lang w:val="tr-TR"/>
        </w:rPr>
        <w:t>â</w:t>
      </w:r>
      <w:r w:rsidRPr="0010769B">
        <w:rPr>
          <w:rFonts w:ascii="Arial" w:hAnsi="Arial" w:cs="Arial"/>
          <w:sz w:val="24"/>
          <w:szCs w:val="24"/>
        </w:rPr>
        <w:t>lihazırda</w:t>
      </w:r>
      <w:proofErr w:type="spellEnd"/>
      <w:r w:rsidRPr="0010769B">
        <w:rPr>
          <w:rFonts w:ascii="Arial" w:hAnsi="Arial" w:cs="Arial"/>
          <w:sz w:val="24"/>
          <w:szCs w:val="24"/>
        </w:rPr>
        <w:t xml:space="preserve"> kısıtlı olan yurt içi tasarruflarımızın ekonomi için üretken alanlarda kullanılması üretim potansiyelimiz açısından büyük önem taşımaktadır. </w:t>
      </w:r>
      <w:r>
        <w:rPr>
          <w:rFonts w:ascii="Arial" w:hAnsi="Arial" w:cs="Arial"/>
          <w:sz w:val="24"/>
          <w:szCs w:val="24"/>
          <w:lang w:val="tr-TR"/>
        </w:rPr>
        <w:t>G</w:t>
      </w:r>
      <w:proofErr w:type="spellStart"/>
      <w:r w:rsidR="005971A9" w:rsidRPr="0010769B">
        <w:rPr>
          <w:rFonts w:ascii="Arial" w:hAnsi="Arial" w:cs="Arial"/>
          <w:sz w:val="24"/>
          <w:szCs w:val="24"/>
        </w:rPr>
        <w:t>ayrimenkul</w:t>
      </w:r>
      <w:proofErr w:type="spellEnd"/>
      <w:r w:rsidR="005971A9" w:rsidRPr="0010769B">
        <w:rPr>
          <w:rFonts w:ascii="Arial" w:hAnsi="Arial" w:cs="Arial"/>
          <w:sz w:val="24"/>
          <w:szCs w:val="24"/>
        </w:rPr>
        <w:t xml:space="preserve"> değer artışlarının yeterince vergilendirilmemesi, imar düzenlemeleri ve kamu hizmetleri yoluyla ciddi bir gayrimenkul </w:t>
      </w:r>
      <w:proofErr w:type="gramStart"/>
      <w:r w:rsidR="005971A9" w:rsidRPr="0010769B">
        <w:rPr>
          <w:rFonts w:ascii="Arial" w:hAnsi="Arial" w:cs="Arial"/>
          <w:sz w:val="24"/>
          <w:szCs w:val="24"/>
        </w:rPr>
        <w:t>rantı</w:t>
      </w:r>
      <w:proofErr w:type="gramEnd"/>
      <w:r w:rsidR="005971A9" w:rsidRPr="0010769B">
        <w:rPr>
          <w:rFonts w:ascii="Arial" w:hAnsi="Arial" w:cs="Arial"/>
          <w:sz w:val="24"/>
          <w:szCs w:val="24"/>
        </w:rPr>
        <w:t xml:space="preserve"> oluşması ve bundan kamunun yeterince pay alamaması kaynaklarımızın önemli ölçüde üretken olmayan alanlara kaymasına neden olmaktadır. </w:t>
      </w:r>
      <w:r w:rsidR="00231AD8" w:rsidRPr="0010769B">
        <w:rPr>
          <w:rFonts w:ascii="Arial" w:hAnsi="Arial" w:cs="Arial"/>
          <w:sz w:val="24"/>
          <w:szCs w:val="24"/>
        </w:rPr>
        <w:t>Bu durum, büyüme potansiyelinin artmasına bir kısıt oluşturmaktadır.</w:t>
      </w:r>
      <w:r w:rsidR="009031DB" w:rsidRPr="00585E68">
        <w:rPr>
          <w:rFonts w:ascii="Arial" w:hAnsi="Arial" w:cs="Arial"/>
          <w:sz w:val="24"/>
          <w:szCs w:val="24"/>
        </w:rPr>
        <w:t xml:space="preserve"> </w:t>
      </w:r>
    </w:p>
    <w:p w:rsidR="005971A9" w:rsidRPr="00585E68" w:rsidRDefault="00606306"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lang w:val="tr-TR"/>
        </w:rPr>
        <w:t xml:space="preserve">Toplam faktör verimliliğinin yeterli düzeyde artmaması büyüme potansiyelinin artmasının önündeki diğer bir kısıttır. Üretim faktörlerinin büyümeye katkısı incelendiğinde, </w:t>
      </w:r>
      <w:r w:rsidR="009031DB" w:rsidRPr="00585E68">
        <w:rPr>
          <w:rFonts w:ascii="Arial" w:hAnsi="Arial" w:cs="Arial"/>
          <w:sz w:val="24"/>
          <w:szCs w:val="24"/>
        </w:rPr>
        <w:t>201</w:t>
      </w:r>
      <w:r w:rsidR="009031DB" w:rsidRPr="00585E68">
        <w:rPr>
          <w:rFonts w:ascii="Arial" w:hAnsi="Arial" w:cs="Arial"/>
          <w:sz w:val="24"/>
          <w:szCs w:val="24"/>
          <w:lang w:val="tr-TR"/>
        </w:rPr>
        <w:t>3</w:t>
      </w:r>
      <w:r w:rsidR="009031DB" w:rsidRPr="00585E68">
        <w:rPr>
          <w:rFonts w:ascii="Arial" w:hAnsi="Arial" w:cs="Arial"/>
          <w:sz w:val="24"/>
          <w:szCs w:val="24"/>
        </w:rPr>
        <w:t xml:space="preserve"> yılında büyümeye katkı</w:t>
      </w:r>
      <w:r w:rsidRPr="00585E68">
        <w:rPr>
          <w:rFonts w:ascii="Arial" w:hAnsi="Arial" w:cs="Arial"/>
          <w:sz w:val="24"/>
          <w:szCs w:val="24"/>
          <w:lang w:val="tr-TR"/>
        </w:rPr>
        <w:t>nın</w:t>
      </w:r>
      <w:r w:rsidR="009031DB" w:rsidRPr="00585E68">
        <w:rPr>
          <w:rFonts w:ascii="Arial" w:hAnsi="Arial" w:cs="Arial"/>
          <w:sz w:val="24"/>
          <w:szCs w:val="24"/>
        </w:rPr>
        <w:t xml:space="preserve"> tamamen sermaye stoku ve yüksek oranda artış gösteren istihdamdan </w:t>
      </w:r>
      <w:r w:rsidRPr="00585E68">
        <w:rPr>
          <w:rFonts w:ascii="Arial" w:hAnsi="Arial" w:cs="Arial"/>
          <w:sz w:val="24"/>
          <w:szCs w:val="24"/>
        </w:rPr>
        <w:t>gel</w:t>
      </w:r>
      <w:r w:rsidRPr="00585E68">
        <w:rPr>
          <w:rFonts w:ascii="Arial" w:hAnsi="Arial" w:cs="Arial"/>
          <w:sz w:val="24"/>
          <w:szCs w:val="24"/>
          <w:lang w:val="tr-TR"/>
        </w:rPr>
        <w:t>diği görülmektedir</w:t>
      </w:r>
      <w:r w:rsidR="009031DB" w:rsidRPr="00585E68">
        <w:rPr>
          <w:rFonts w:ascii="Arial" w:hAnsi="Arial" w:cs="Arial"/>
          <w:sz w:val="24"/>
          <w:szCs w:val="24"/>
        </w:rPr>
        <w:t xml:space="preserve">. </w:t>
      </w:r>
      <w:r w:rsidR="009031DB" w:rsidRPr="00585E68">
        <w:rPr>
          <w:rFonts w:ascii="Arial" w:hAnsi="Arial" w:cs="Arial"/>
          <w:sz w:val="24"/>
          <w:szCs w:val="24"/>
          <w:lang w:val="tr-TR"/>
        </w:rPr>
        <w:t>T</w:t>
      </w:r>
      <w:proofErr w:type="spellStart"/>
      <w:r w:rsidR="009031DB" w:rsidRPr="00585E68">
        <w:rPr>
          <w:rFonts w:ascii="Arial" w:hAnsi="Arial" w:cs="Arial"/>
          <w:sz w:val="24"/>
          <w:szCs w:val="24"/>
        </w:rPr>
        <w:t>oplam</w:t>
      </w:r>
      <w:proofErr w:type="spellEnd"/>
      <w:r w:rsidR="009031DB" w:rsidRPr="00585E68">
        <w:rPr>
          <w:rFonts w:ascii="Arial" w:hAnsi="Arial" w:cs="Arial"/>
          <w:sz w:val="24"/>
          <w:szCs w:val="24"/>
        </w:rPr>
        <w:t xml:space="preserve"> faktör verimliliği </w:t>
      </w:r>
      <w:r w:rsidR="009031DB" w:rsidRPr="00585E68">
        <w:rPr>
          <w:rFonts w:ascii="Arial" w:hAnsi="Arial" w:cs="Arial"/>
          <w:sz w:val="24"/>
          <w:szCs w:val="24"/>
          <w:lang w:val="tr-TR"/>
        </w:rPr>
        <w:t xml:space="preserve">ise </w:t>
      </w:r>
      <w:r w:rsidR="009031DB" w:rsidRPr="00585E68">
        <w:rPr>
          <w:rFonts w:ascii="Arial" w:hAnsi="Arial" w:cs="Arial"/>
          <w:sz w:val="24"/>
          <w:szCs w:val="24"/>
        </w:rPr>
        <w:t xml:space="preserve">büyümeye </w:t>
      </w:r>
      <w:r w:rsidR="009031DB" w:rsidRPr="00585E68">
        <w:rPr>
          <w:rFonts w:ascii="Arial" w:hAnsi="Arial" w:cs="Arial"/>
          <w:sz w:val="24"/>
          <w:szCs w:val="24"/>
          <w:lang w:val="tr-TR"/>
        </w:rPr>
        <w:t xml:space="preserve">düşük düzeyde </w:t>
      </w:r>
      <w:r w:rsidR="009031DB" w:rsidRPr="00585E68">
        <w:rPr>
          <w:rFonts w:ascii="Arial" w:hAnsi="Arial" w:cs="Arial"/>
          <w:sz w:val="24"/>
          <w:szCs w:val="24"/>
        </w:rPr>
        <w:t xml:space="preserve">negatif katkı yapmıştır. </w:t>
      </w:r>
      <w:r w:rsidR="009031DB" w:rsidRPr="00585E68">
        <w:rPr>
          <w:rFonts w:ascii="Arial" w:hAnsi="Arial" w:cs="Arial"/>
          <w:sz w:val="24"/>
          <w:szCs w:val="24"/>
          <w:lang w:val="tr-TR"/>
        </w:rPr>
        <w:t xml:space="preserve">2014 yılında da </w:t>
      </w:r>
      <w:r w:rsidR="009031DB" w:rsidRPr="00585E68">
        <w:rPr>
          <w:rFonts w:ascii="Arial" w:hAnsi="Arial" w:cs="Arial"/>
          <w:sz w:val="24"/>
          <w:szCs w:val="24"/>
        </w:rPr>
        <w:t xml:space="preserve">büyümenin </w:t>
      </w:r>
      <w:r w:rsidR="009031DB" w:rsidRPr="00585E68">
        <w:rPr>
          <w:rFonts w:ascii="Arial" w:hAnsi="Arial" w:cs="Arial"/>
          <w:sz w:val="24"/>
          <w:szCs w:val="24"/>
          <w:lang w:val="tr-TR"/>
        </w:rPr>
        <w:t xml:space="preserve">tamamen </w:t>
      </w:r>
      <w:r w:rsidR="009031DB" w:rsidRPr="00585E68">
        <w:rPr>
          <w:rFonts w:ascii="Arial" w:hAnsi="Arial" w:cs="Arial"/>
          <w:sz w:val="24"/>
          <w:szCs w:val="24"/>
        </w:rPr>
        <w:t>istihdam ve sermaye stoku</w:t>
      </w:r>
      <w:r w:rsidR="009031DB" w:rsidRPr="00585E68">
        <w:rPr>
          <w:rFonts w:ascii="Arial" w:hAnsi="Arial" w:cs="Arial"/>
          <w:sz w:val="24"/>
          <w:szCs w:val="24"/>
          <w:lang w:val="tr-TR"/>
        </w:rPr>
        <w:t>ndaki artıştan kaynaklanması beklenmektedir</w:t>
      </w:r>
      <w:r w:rsidR="009031DB" w:rsidRPr="00585E68">
        <w:rPr>
          <w:rFonts w:ascii="Arial" w:hAnsi="Arial" w:cs="Arial"/>
          <w:sz w:val="24"/>
          <w:szCs w:val="24"/>
        </w:rPr>
        <w:t>. 201</w:t>
      </w:r>
      <w:r w:rsidR="009031DB" w:rsidRPr="00585E68">
        <w:rPr>
          <w:rFonts w:ascii="Arial" w:hAnsi="Arial" w:cs="Arial"/>
          <w:sz w:val="24"/>
          <w:szCs w:val="24"/>
          <w:lang w:val="tr-TR"/>
        </w:rPr>
        <w:t>5</w:t>
      </w:r>
      <w:r w:rsidR="009031DB" w:rsidRPr="00585E68">
        <w:rPr>
          <w:rFonts w:ascii="Arial" w:hAnsi="Arial" w:cs="Arial"/>
          <w:sz w:val="24"/>
          <w:szCs w:val="24"/>
        </w:rPr>
        <w:t xml:space="preserve"> yılı ve sonrasında </w:t>
      </w:r>
      <w:r w:rsidR="00EE1D84" w:rsidRPr="00585E68">
        <w:rPr>
          <w:rFonts w:ascii="Arial" w:hAnsi="Arial" w:cs="Arial"/>
          <w:sz w:val="24"/>
          <w:szCs w:val="24"/>
          <w:lang w:val="tr-TR"/>
        </w:rPr>
        <w:t>toplam faktör verimliliğinin</w:t>
      </w:r>
      <w:r w:rsidR="00EE1D84" w:rsidRPr="00585E68">
        <w:rPr>
          <w:rFonts w:ascii="Arial" w:hAnsi="Arial" w:cs="Arial"/>
          <w:sz w:val="24"/>
          <w:szCs w:val="24"/>
        </w:rPr>
        <w:t xml:space="preserve"> </w:t>
      </w:r>
      <w:r w:rsidR="009031DB" w:rsidRPr="00585E68">
        <w:rPr>
          <w:rFonts w:ascii="Arial" w:hAnsi="Arial" w:cs="Arial"/>
          <w:sz w:val="24"/>
          <w:szCs w:val="24"/>
        </w:rPr>
        <w:t xml:space="preserve">büyümeye pozitif katkı </w:t>
      </w:r>
      <w:r w:rsidR="00120FBE" w:rsidRPr="00585E68">
        <w:rPr>
          <w:rFonts w:ascii="Arial" w:hAnsi="Arial" w:cs="Arial"/>
          <w:sz w:val="24"/>
          <w:szCs w:val="24"/>
        </w:rPr>
        <w:t>sağla</w:t>
      </w:r>
      <w:r w:rsidR="00120FBE">
        <w:rPr>
          <w:rFonts w:ascii="Arial" w:hAnsi="Arial" w:cs="Arial"/>
          <w:sz w:val="24"/>
          <w:szCs w:val="24"/>
          <w:lang w:val="tr-TR"/>
        </w:rPr>
        <w:t>ması</w:t>
      </w:r>
      <w:r w:rsidR="00120FBE" w:rsidRPr="00585E68">
        <w:rPr>
          <w:rFonts w:ascii="Arial" w:hAnsi="Arial" w:cs="Arial"/>
          <w:sz w:val="24"/>
          <w:szCs w:val="24"/>
        </w:rPr>
        <w:t xml:space="preserve"> </w:t>
      </w:r>
      <w:r w:rsidR="009031DB" w:rsidRPr="00585E68">
        <w:rPr>
          <w:rFonts w:ascii="Arial" w:hAnsi="Arial" w:cs="Arial"/>
          <w:sz w:val="24"/>
          <w:szCs w:val="24"/>
        </w:rPr>
        <w:t xml:space="preserve">ve büyümenin potansiyel düzeyine </w:t>
      </w:r>
      <w:r w:rsidR="009031DB" w:rsidRPr="00585E68">
        <w:rPr>
          <w:rFonts w:ascii="Arial" w:hAnsi="Arial" w:cs="Arial"/>
          <w:sz w:val="24"/>
          <w:szCs w:val="24"/>
          <w:lang w:val="tr-TR"/>
        </w:rPr>
        <w:t>yüksel</w:t>
      </w:r>
      <w:r w:rsidR="00120FBE">
        <w:rPr>
          <w:rFonts w:ascii="Arial" w:hAnsi="Arial" w:cs="Arial"/>
          <w:sz w:val="24"/>
          <w:szCs w:val="24"/>
          <w:lang w:val="tr-TR"/>
        </w:rPr>
        <w:t>til</w:t>
      </w:r>
      <w:r w:rsidR="009031DB" w:rsidRPr="00585E68">
        <w:rPr>
          <w:rFonts w:ascii="Arial" w:hAnsi="Arial" w:cs="Arial"/>
          <w:sz w:val="24"/>
          <w:szCs w:val="24"/>
          <w:lang w:val="tr-TR"/>
        </w:rPr>
        <w:t>mesi</w:t>
      </w:r>
      <w:r w:rsidR="00120FBE">
        <w:rPr>
          <w:rFonts w:ascii="Arial" w:hAnsi="Arial" w:cs="Arial"/>
          <w:sz w:val="24"/>
          <w:szCs w:val="24"/>
          <w:lang w:val="tr-TR"/>
        </w:rPr>
        <w:t xml:space="preserve"> açısından önem arz etmektedir.</w:t>
      </w:r>
    </w:p>
    <w:p w:rsidR="001D665C" w:rsidRPr="00585E68" w:rsidRDefault="00D43212"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lang w:val="tr-TR"/>
        </w:rPr>
        <w:t>M</w:t>
      </w:r>
      <w:proofErr w:type="spellStart"/>
      <w:r w:rsidR="001D665C" w:rsidRPr="00585E68">
        <w:rPr>
          <w:rFonts w:ascii="Arial" w:hAnsi="Arial" w:cs="Arial"/>
          <w:sz w:val="24"/>
          <w:szCs w:val="24"/>
        </w:rPr>
        <w:t>evsimsel</w:t>
      </w:r>
      <w:proofErr w:type="spellEnd"/>
      <w:r w:rsidR="001D665C" w:rsidRPr="00585E68">
        <w:rPr>
          <w:rFonts w:ascii="Arial" w:hAnsi="Arial" w:cs="Arial"/>
          <w:sz w:val="24"/>
          <w:szCs w:val="24"/>
        </w:rPr>
        <w:t xml:space="preserve"> etkilerden arındırılmış </w:t>
      </w:r>
      <w:r w:rsidR="00120FBE">
        <w:rPr>
          <w:rFonts w:ascii="Arial" w:hAnsi="Arial" w:cs="Arial"/>
          <w:sz w:val="24"/>
          <w:szCs w:val="24"/>
          <w:lang w:val="tr-TR"/>
        </w:rPr>
        <w:t xml:space="preserve">yeni istihdam serisi </w:t>
      </w:r>
      <w:r w:rsidR="001D665C" w:rsidRPr="00585E68">
        <w:rPr>
          <w:rFonts w:ascii="Arial" w:hAnsi="Arial" w:cs="Arial"/>
          <w:sz w:val="24"/>
          <w:szCs w:val="24"/>
        </w:rPr>
        <w:t>ve</w:t>
      </w:r>
      <w:r w:rsidRPr="00585E68">
        <w:rPr>
          <w:rFonts w:ascii="Arial" w:hAnsi="Arial" w:cs="Arial"/>
          <w:sz w:val="24"/>
          <w:szCs w:val="24"/>
        </w:rPr>
        <w:t>riler</w:t>
      </w:r>
      <w:r w:rsidR="00120FBE">
        <w:rPr>
          <w:rFonts w:ascii="Arial" w:hAnsi="Arial" w:cs="Arial"/>
          <w:sz w:val="24"/>
          <w:szCs w:val="24"/>
          <w:lang w:val="tr-TR"/>
        </w:rPr>
        <w:t>in</w:t>
      </w:r>
      <w:r w:rsidRPr="00585E68">
        <w:rPr>
          <w:rFonts w:ascii="Arial" w:hAnsi="Arial" w:cs="Arial"/>
          <w:sz w:val="24"/>
          <w:szCs w:val="24"/>
        </w:rPr>
        <w:t>e göre</w:t>
      </w:r>
      <w:r w:rsidR="009D1F9C" w:rsidRPr="00585E68">
        <w:rPr>
          <w:rFonts w:ascii="Arial" w:hAnsi="Arial" w:cs="Arial"/>
          <w:sz w:val="24"/>
          <w:szCs w:val="24"/>
          <w:lang w:val="tr-TR"/>
        </w:rPr>
        <w:t>,</w:t>
      </w:r>
      <w:r w:rsidRPr="00585E68">
        <w:rPr>
          <w:rFonts w:ascii="Arial" w:hAnsi="Arial" w:cs="Arial"/>
          <w:sz w:val="24"/>
          <w:szCs w:val="24"/>
        </w:rPr>
        <w:t xml:space="preserve"> 201</w:t>
      </w:r>
      <w:r w:rsidRPr="00585E68">
        <w:rPr>
          <w:rFonts w:ascii="Arial" w:hAnsi="Arial" w:cs="Arial"/>
          <w:sz w:val="24"/>
          <w:szCs w:val="24"/>
          <w:lang w:val="tr-TR"/>
        </w:rPr>
        <w:t>2</w:t>
      </w:r>
      <w:r w:rsidRPr="00585E68">
        <w:rPr>
          <w:rFonts w:ascii="Arial" w:hAnsi="Arial" w:cs="Arial"/>
          <w:sz w:val="24"/>
          <w:szCs w:val="24"/>
        </w:rPr>
        <w:t xml:space="preserve"> yılı</w:t>
      </w:r>
      <w:r w:rsidR="001D665C" w:rsidRPr="00585E68">
        <w:rPr>
          <w:rFonts w:ascii="Arial" w:hAnsi="Arial" w:cs="Arial"/>
          <w:sz w:val="24"/>
          <w:szCs w:val="24"/>
        </w:rPr>
        <w:t xml:space="preserve"> </w:t>
      </w:r>
      <w:r w:rsidRPr="00585E68">
        <w:rPr>
          <w:rFonts w:ascii="Arial" w:hAnsi="Arial" w:cs="Arial"/>
          <w:sz w:val="24"/>
          <w:szCs w:val="24"/>
          <w:lang w:val="tr-TR"/>
        </w:rPr>
        <w:t>başından itibaren</w:t>
      </w:r>
      <w:r w:rsidR="001D665C" w:rsidRPr="00585E68">
        <w:rPr>
          <w:rFonts w:ascii="Arial" w:hAnsi="Arial" w:cs="Arial"/>
          <w:sz w:val="24"/>
          <w:szCs w:val="24"/>
        </w:rPr>
        <w:t xml:space="preserve"> </w:t>
      </w:r>
      <w:r w:rsidRPr="00585E68">
        <w:rPr>
          <w:rFonts w:ascii="Arial" w:hAnsi="Arial" w:cs="Arial"/>
          <w:sz w:val="24"/>
          <w:szCs w:val="24"/>
          <w:lang w:val="tr-TR"/>
        </w:rPr>
        <w:t xml:space="preserve">gerek işgücüne katılma oranı gerekse istihdam oranı artış eğilimi içerisindedir. </w:t>
      </w:r>
      <w:r w:rsidR="00460C56" w:rsidRPr="00585E68">
        <w:rPr>
          <w:rFonts w:ascii="Arial" w:hAnsi="Arial" w:cs="Arial"/>
          <w:sz w:val="24"/>
          <w:szCs w:val="24"/>
          <w:lang w:val="tr-TR"/>
        </w:rPr>
        <w:t>A</w:t>
      </w:r>
      <w:proofErr w:type="spellStart"/>
      <w:r w:rsidR="001D665C" w:rsidRPr="00585E68">
        <w:rPr>
          <w:rFonts w:ascii="Arial" w:hAnsi="Arial" w:cs="Arial"/>
          <w:sz w:val="24"/>
          <w:szCs w:val="24"/>
        </w:rPr>
        <w:t>ncak</w:t>
      </w:r>
      <w:proofErr w:type="spellEnd"/>
      <w:r w:rsidR="009D1F9C" w:rsidRPr="00585E68">
        <w:rPr>
          <w:rFonts w:ascii="Arial" w:hAnsi="Arial" w:cs="Arial"/>
          <w:sz w:val="24"/>
          <w:szCs w:val="24"/>
          <w:lang w:val="tr-TR"/>
        </w:rPr>
        <w:t>,</w:t>
      </w:r>
      <w:r w:rsidR="001D665C" w:rsidRPr="00585E68">
        <w:rPr>
          <w:rFonts w:ascii="Arial" w:hAnsi="Arial" w:cs="Arial"/>
          <w:sz w:val="24"/>
          <w:szCs w:val="24"/>
        </w:rPr>
        <w:t xml:space="preserve"> </w:t>
      </w:r>
      <w:r w:rsidR="00474FDA" w:rsidRPr="00585E68">
        <w:rPr>
          <w:rFonts w:ascii="Arial" w:hAnsi="Arial" w:cs="Arial"/>
          <w:sz w:val="24"/>
          <w:szCs w:val="24"/>
          <w:lang w:val="tr-TR"/>
        </w:rPr>
        <w:t xml:space="preserve">istihdam artışına nazaran işgücüne katılma oranlarındaki artışın </w:t>
      </w:r>
      <w:r w:rsidR="009D1F9C" w:rsidRPr="00585E68">
        <w:rPr>
          <w:rFonts w:ascii="Arial" w:hAnsi="Arial" w:cs="Arial"/>
          <w:sz w:val="24"/>
          <w:szCs w:val="24"/>
          <w:lang w:val="tr-TR"/>
        </w:rPr>
        <w:t xml:space="preserve">işsizlik oranı üzerindeki etkisinin </w:t>
      </w:r>
      <w:r w:rsidR="00474FDA" w:rsidRPr="00585E68">
        <w:rPr>
          <w:rFonts w:ascii="Arial" w:hAnsi="Arial" w:cs="Arial"/>
          <w:sz w:val="24"/>
          <w:szCs w:val="24"/>
          <w:lang w:val="tr-TR"/>
        </w:rPr>
        <w:t xml:space="preserve">daha güçlü olması sonucunda </w:t>
      </w:r>
      <w:r w:rsidR="008A440B" w:rsidRPr="00585E68">
        <w:rPr>
          <w:rFonts w:ascii="Arial" w:hAnsi="Arial" w:cs="Arial"/>
          <w:sz w:val="24"/>
          <w:szCs w:val="24"/>
        </w:rPr>
        <w:t>201</w:t>
      </w:r>
      <w:r w:rsidR="008A440B" w:rsidRPr="00585E68">
        <w:rPr>
          <w:rFonts w:ascii="Arial" w:hAnsi="Arial" w:cs="Arial"/>
          <w:sz w:val="24"/>
          <w:szCs w:val="24"/>
          <w:lang w:val="tr-TR"/>
        </w:rPr>
        <w:t>2</w:t>
      </w:r>
      <w:r w:rsidR="001D665C" w:rsidRPr="00585E68">
        <w:rPr>
          <w:rFonts w:ascii="Arial" w:hAnsi="Arial" w:cs="Arial"/>
          <w:sz w:val="24"/>
          <w:szCs w:val="24"/>
        </w:rPr>
        <w:t xml:space="preserve"> yılının </w:t>
      </w:r>
      <w:r w:rsidR="008A440B" w:rsidRPr="00585E68">
        <w:rPr>
          <w:rFonts w:ascii="Arial" w:hAnsi="Arial" w:cs="Arial"/>
          <w:sz w:val="24"/>
          <w:szCs w:val="24"/>
          <w:lang w:val="tr-TR"/>
        </w:rPr>
        <w:t>ortalarından itibaren işsizlik oranında bir artış eğilimi yaşanmaktadır. Bu artış eğilimi</w:t>
      </w:r>
      <w:r w:rsidR="001D665C" w:rsidRPr="00585E68">
        <w:rPr>
          <w:rFonts w:ascii="Arial" w:hAnsi="Arial" w:cs="Arial"/>
          <w:sz w:val="24"/>
          <w:szCs w:val="24"/>
        </w:rPr>
        <w:t xml:space="preserve"> 2014 yılı</w:t>
      </w:r>
      <w:r w:rsidR="009D1F9C" w:rsidRPr="00585E68">
        <w:rPr>
          <w:rFonts w:ascii="Arial" w:hAnsi="Arial" w:cs="Arial"/>
          <w:sz w:val="24"/>
          <w:szCs w:val="24"/>
          <w:lang w:val="tr-TR"/>
        </w:rPr>
        <w:t>nın ikinci çeyreğinde</w:t>
      </w:r>
      <w:r w:rsidR="008A440B" w:rsidRPr="00585E68">
        <w:rPr>
          <w:rFonts w:ascii="Arial" w:hAnsi="Arial" w:cs="Arial"/>
          <w:sz w:val="24"/>
          <w:szCs w:val="24"/>
          <w:lang w:val="tr-TR"/>
        </w:rPr>
        <w:t xml:space="preserve"> daha da ivmelenmiş ve</w:t>
      </w:r>
      <w:r w:rsidR="001D665C" w:rsidRPr="00585E68">
        <w:rPr>
          <w:rFonts w:ascii="Arial" w:hAnsi="Arial" w:cs="Arial"/>
          <w:sz w:val="24"/>
          <w:szCs w:val="24"/>
        </w:rPr>
        <w:t xml:space="preserve"> Haziran döneminde </w:t>
      </w:r>
      <w:r w:rsidR="008A440B" w:rsidRPr="00585E68">
        <w:rPr>
          <w:rFonts w:ascii="Arial" w:hAnsi="Arial" w:cs="Arial"/>
          <w:sz w:val="24"/>
          <w:szCs w:val="24"/>
          <w:lang w:val="tr-TR"/>
        </w:rPr>
        <w:t xml:space="preserve">işsizlik oranı </w:t>
      </w:r>
      <w:r w:rsidR="008A440B" w:rsidRPr="00585E68">
        <w:rPr>
          <w:rFonts w:ascii="Arial" w:hAnsi="Arial" w:cs="Arial"/>
          <w:sz w:val="24"/>
          <w:szCs w:val="24"/>
        </w:rPr>
        <w:t>yüzde 9,9’a yükselmiştir.</w:t>
      </w:r>
    </w:p>
    <w:p w:rsidR="00824569" w:rsidRPr="00585E68" w:rsidRDefault="0082456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2012 yılında yaşanan yavaşlamanın ardından 2013 yılında ekonomik aktivitede görülen hızlanma</w:t>
      </w:r>
      <w:r w:rsidR="00281088" w:rsidRPr="00585E68">
        <w:rPr>
          <w:rFonts w:ascii="Arial" w:hAnsi="Arial" w:cs="Arial"/>
          <w:sz w:val="24"/>
          <w:szCs w:val="24"/>
          <w:lang w:val="tr-TR"/>
        </w:rPr>
        <w:t xml:space="preserve"> ve altın ithalatında görülen aşırı artış</w:t>
      </w:r>
      <w:r w:rsidR="00BA4237" w:rsidRPr="00585E68">
        <w:rPr>
          <w:rFonts w:ascii="Arial" w:hAnsi="Arial" w:cs="Arial"/>
          <w:sz w:val="24"/>
          <w:szCs w:val="24"/>
          <w:lang w:val="tr-TR"/>
        </w:rPr>
        <w:t xml:space="preserve"> neticesinde</w:t>
      </w:r>
      <w:r w:rsidR="006C57D2" w:rsidRPr="00585E68">
        <w:rPr>
          <w:rFonts w:ascii="Arial" w:hAnsi="Arial" w:cs="Arial"/>
          <w:sz w:val="24"/>
          <w:szCs w:val="24"/>
          <w:lang w:val="tr-TR"/>
        </w:rPr>
        <w:t>,</w:t>
      </w:r>
      <w:r w:rsidRPr="00585E68">
        <w:rPr>
          <w:rFonts w:ascii="Arial" w:hAnsi="Arial" w:cs="Arial"/>
          <w:sz w:val="24"/>
          <w:szCs w:val="24"/>
        </w:rPr>
        <w:t xml:space="preserve"> ithalat nominal olarak yüzde 6,4 </w:t>
      </w:r>
      <w:r w:rsidR="006C57D2" w:rsidRPr="00585E68">
        <w:rPr>
          <w:rFonts w:ascii="Arial" w:hAnsi="Arial" w:cs="Arial"/>
          <w:sz w:val="24"/>
          <w:szCs w:val="24"/>
          <w:lang w:val="tr-TR"/>
        </w:rPr>
        <w:t xml:space="preserve">oranında </w:t>
      </w:r>
      <w:r w:rsidRPr="00585E68">
        <w:rPr>
          <w:rFonts w:ascii="Arial" w:hAnsi="Arial" w:cs="Arial"/>
          <w:sz w:val="24"/>
          <w:szCs w:val="24"/>
        </w:rPr>
        <w:t>artış kaydederek 251,7 milyar dolara ulaş</w:t>
      </w:r>
      <w:r w:rsidR="00281088" w:rsidRPr="00585E68">
        <w:rPr>
          <w:rFonts w:ascii="Arial" w:hAnsi="Arial" w:cs="Arial"/>
          <w:sz w:val="24"/>
          <w:szCs w:val="24"/>
          <w:lang w:val="tr-TR"/>
        </w:rPr>
        <w:t>mıştır.</w:t>
      </w:r>
      <w:r w:rsidRPr="00585E68">
        <w:rPr>
          <w:rFonts w:ascii="Arial" w:hAnsi="Arial" w:cs="Arial"/>
          <w:sz w:val="24"/>
          <w:szCs w:val="24"/>
        </w:rPr>
        <w:t xml:space="preserve"> </w:t>
      </w:r>
      <w:r w:rsidR="00281088" w:rsidRPr="00585E68">
        <w:rPr>
          <w:rFonts w:ascii="Arial" w:hAnsi="Arial" w:cs="Arial"/>
          <w:sz w:val="24"/>
          <w:szCs w:val="24"/>
          <w:lang w:val="tr-TR"/>
        </w:rPr>
        <w:t>İ</w:t>
      </w:r>
      <w:proofErr w:type="spellStart"/>
      <w:r w:rsidR="00281088" w:rsidRPr="00585E68">
        <w:rPr>
          <w:rFonts w:ascii="Arial" w:hAnsi="Arial" w:cs="Arial"/>
          <w:sz w:val="24"/>
          <w:szCs w:val="24"/>
        </w:rPr>
        <w:t>hracat</w:t>
      </w:r>
      <w:proofErr w:type="spellEnd"/>
      <w:r w:rsidR="00281088" w:rsidRPr="00585E68">
        <w:rPr>
          <w:rFonts w:ascii="Arial" w:hAnsi="Arial" w:cs="Arial"/>
          <w:sz w:val="24"/>
          <w:szCs w:val="24"/>
        </w:rPr>
        <w:t xml:space="preserve"> </w:t>
      </w:r>
      <w:r w:rsidR="00281088" w:rsidRPr="00585E68">
        <w:rPr>
          <w:rFonts w:ascii="Arial" w:hAnsi="Arial" w:cs="Arial"/>
          <w:sz w:val="24"/>
          <w:szCs w:val="24"/>
          <w:lang w:val="tr-TR"/>
        </w:rPr>
        <w:t xml:space="preserve">ise altın ihracatının normal seviyelere dönmesi neticesinde </w:t>
      </w:r>
      <w:r w:rsidRPr="00585E68">
        <w:rPr>
          <w:rFonts w:ascii="Arial" w:hAnsi="Arial" w:cs="Arial"/>
          <w:sz w:val="24"/>
          <w:szCs w:val="24"/>
        </w:rPr>
        <w:t xml:space="preserve">bir önceki yıl seviyesine </w:t>
      </w:r>
      <w:r w:rsidR="005D03F9" w:rsidRPr="00585E68">
        <w:rPr>
          <w:rFonts w:ascii="Arial" w:hAnsi="Arial" w:cs="Arial"/>
          <w:sz w:val="24"/>
          <w:szCs w:val="24"/>
          <w:lang w:val="tr-TR"/>
        </w:rPr>
        <w:t>yakın</w:t>
      </w:r>
      <w:r w:rsidR="00AB27A0" w:rsidRPr="00585E68">
        <w:rPr>
          <w:rFonts w:ascii="Arial" w:hAnsi="Arial" w:cs="Arial"/>
          <w:sz w:val="24"/>
          <w:szCs w:val="24"/>
        </w:rPr>
        <w:t xml:space="preserve"> 151,8 milyar dolar</w:t>
      </w:r>
      <w:r w:rsidRPr="00585E68">
        <w:rPr>
          <w:rFonts w:ascii="Arial" w:hAnsi="Arial" w:cs="Arial"/>
          <w:sz w:val="24"/>
          <w:szCs w:val="24"/>
        </w:rPr>
        <w:t xml:space="preserve"> </w:t>
      </w:r>
      <w:r w:rsidR="00281088" w:rsidRPr="00585E68">
        <w:rPr>
          <w:rFonts w:ascii="Arial" w:hAnsi="Arial" w:cs="Arial"/>
          <w:sz w:val="24"/>
          <w:szCs w:val="24"/>
          <w:lang w:val="tr-TR"/>
        </w:rPr>
        <w:t>olmuştur</w:t>
      </w:r>
      <w:r w:rsidRPr="00585E68">
        <w:rPr>
          <w:rFonts w:ascii="Arial" w:hAnsi="Arial" w:cs="Arial"/>
          <w:sz w:val="24"/>
          <w:szCs w:val="24"/>
        </w:rPr>
        <w:t xml:space="preserve">. </w:t>
      </w:r>
      <w:r w:rsidR="000D1047" w:rsidRPr="00585E68">
        <w:rPr>
          <w:rFonts w:ascii="Arial" w:hAnsi="Arial" w:cs="Arial"/>
          <w:sz w:val="24"/>
          <w:szCs w:val="24"/>
          <w:lang w:val="tr-TR"/>
        </w:rPr>
        <w:t xml:space="preserve">Söz konusu yıllarda altın ticareti, dış ticaret </w:t>
      </w:r>
      <w:r w:rsidR="004138FE" w:rsidRPr="00585E68">
        <w:rPr>
          <w:rFonts w:ascii="Arial" w:hAnsi="Arial" w:cs="Arial"/>
          <w:sz w:val="24"/>
          <w:szCs w:val="24"/>
          <w:lang w:val="tr-TR"/>
        </w:rPr>
        <w:t xml:space="preserve">açığını 2012 yılında aşağı, 2013 yılında ise yukarı yönlü olmak üzere </w:t>
      </w:r>
      <w:r w:rsidR="000D1047" w:rsidRPr="00585E68">
        <w:rPr>
          <w:rFonts w:ascii="Arial" w:hAnsi="Arial" w:cs="Arial"/>
          <w:sz w:val="24"/>
          <w:szCs w:val="24"/>
          <w:lang w:val="tr-TR"/>
        </w:rPr>
        <w:t xml:space="preserve">önemli miktarda etkilemiştir. </w:t>
      </w:r>
      <w:r w:rsidRPr="00585E68">
        <w:rPr>
          <w:rFonts w:ascii="Arial" w:hAnsi="Arial" w:cs="Arial"/>
          <w:sz w:val="24"/>
          <w:szCs w:val="24"/>
        </w:rPr>
        <w:t>Buna göre, dış ticaret açığı</w:t>
      </w:r>
      <w:r w:rsidR="00DC6773" w:rsidRPr="00585E68">
        <w:rPr>
          <w:rFonts w:ascii="Arial" w:hAnsi="Arial" w:cs="Arial"/>
          <w:sz w:val="24"/>
          <w:szCs w:val="24"/>
          <w:lang w:val="tr-TR"/>
        </w:rPr>
        <w:t>nın</w:t>
      </w:r>
      <w:r w:rsidR="004138FE" w:rsidRPr="00585E68">
        <w:rPr>
          <w:rFonts w:ascii="Arial" w:hAnsi="Arial" w:cs="Arial"/>
          <w:sz w:val="24"/>
          <w:szCs w:val="24"/>
          <w:lang w:val="tr-TR"/>
        </w:rPr>
        <w:t xml:space="preserve"> </w:t>
      </w:r>
      <w:proofErr w:type="spellStart"/>
      <w:r w:rsidR="00DC6773" w:rsidRPr="00585E68">
        <w:rPr>
          <w:rFonts w:ascii="Arial" w:hAnsi="Arial" w:cs="Arial"/>
          <w:sz w:val="24"/>
          <w:szCs w:val="24"/>
          <w:lang w:val="tr-TR"/>
        </w:rPr>
        <w:t>GSYH’ya</w:t>
      </w:r>
      <w:proofErr w:type="spellEnd"/>
      <w:r w:rsidR="00DC6773" w:rsidRPr="00585E68">
        <w:rPr>
          <w:rFonts w:ascii="Arial" w:hAnsi="Arial" w:cs="Arial"/>
          <w:sz w:val="24"/>
          <w:szCs w:val="24"/>
          <w:lang w:val="tr-TR"/>
        </w:rPr>
        <w:t xml:space="preserve"> oranı </w:t>
      </w:r>
      <w:r w:rsidR="004138FE" w:rsidRPr="00585E68">
        <w:rPr>
          <w:rFonts w:ascii="Arial" w:hAnsi="Arial" w:cs="Arial"/>
          <w:sz w:val="24"/>
          <w:szCs w:val="24"/>
          <w:lang w:val="tr-TR"/>
        </w:rPr>
        <w:t>2012 yılında</w:t>
      </w:r>
      <w:r w:rsidR="00DC6773" w:rsidRPr="00585E68">
        <w:rPr>
          <w:rFonts w:ascii="Arial" w:hAnsi="Arial" w:cs="Arial"/>
          <w:sz w:val="24"/>
          <w:szCs w:val="24"/>
          <w:lang w:val="tr-TR"/>
        </w:rPr>
        <w:t>ki</w:t>
      </w:r>
      <w:r w:rsidR="005D03F9" w:rsidRPr="00585E68">
        <w:rPr>
          <w:rFonts w:ascii="Arial" w:hAnsi="Arial" w:cs="Arial"/>
          <w:sz w:val="24"/>
          <w:szCs w:val="24"/>
          <w:lang w:val="tr-TR"/>
        </w:rPr>
        <w:t xml:space="preserve"> </w:t>
      </w:r>
      <w:r w:rsidR="00DC6773" w:rsidRPr="00585E68">
        <w:rPr>
          <w:rFonts w:ascii="Arial" w:hAnsi="Arial" w:cs="Arial"/>
          <w:sz w:val="24"/>
          <w:szCs w:val="24"/>
          <w:lang w:val="tr-TR"/>
        </w:rPr>
        <w:t xml:space="preserve">yüzde 10,7’lik seviyesinden </w:t>
      </w:r>
      <w:r w:rsidR="004138FE" w:rsidRPr="00585E68">
        <w:rPr>
          <w:rFonts w:ascii="Arial" w:hAnsi="Arial" w:cs="Arial"/>
          <w:sz w:val="24"/>
          <w:szCs w:val="24"/>
          <w:lang w:val="tr-TR"/>
        </w:rPr>
        <w:t xml:space="preserve">2013 yılında </w:t>
      </w:r>
      <w:r w:rsidR="00DC6773" w:rsidRPr="00585E68">
        <w:rPr>
          <w:rFonts w:ascii="Arial" w:hAnsi="Arial" w:cs="Arial"/>
          <w:sz w:val="24"/>
          <w:szCs w:val="24"/>
          <w:lang w:val="tr-TR"/>
        </w:rPr>
        <w:t xml:space="preserve">yüzde 12,1’e </w:t>
      </w:r>
      <w:r w:rsidRPr="00585E68">
        <w:rPr>
          <w:rFonts w:ascii="Arial" w:hAnsi="Arial" w:cs="Arial"/>
          <w:sz w:val="24"/>
          <w:szCs w:val="24"/>
        </w:rPr>
        <w:t>yükselmiş</w:t>
      </w:r>
      <w:r w:rsidR="004138FE" w:rsidRPr="00585E68">
        <w:rPr>
          <w:rFonts w:ascii="Arial" w:hAnsi="Arial" w:cs="Arial"/>
          <w:sz w:val="24"/>
          <w:szCs w:val="24"/>
          <w:lang w:val="tr-TR"/>
        </w:rPr>
        <w:t>tir.</w:t>
      </w:r>
      <w:r w:rsidRPr="00585E68">
        <w:rPr>
          <w:rFonts w:ascii="Arial" w:hAnsi="Arial" w:cs="Arial"/>
          <w:sz w:val="24"/>
          <w:szCs w:val="24"/>
        </w:rPr>
        <w:t xml:space="preserve"> </w:t>
      </w:r>
      <w:r w:rsidR="00DC6773" w:rsidRPr="00585E68">
        <w:rPr>
          <w:rFonts w:ascii="Arial" w:hAnsi="Arial" w:cs="Arial"/>
          <w:sz w:val="24"/>
          <w:szCs w:val="24"/>
          <w:lang w:val="tr-TR"/>
        </w:rPr>
        <w:t xml:space="preserve">Altın ticareti hariç dış ticaret açığı ise aynı dönemde yüzde 11,4’ten yüzde 10,7’ye düşmüştür. </w:t>
      </w:r>
      <w:r w:rsidR="00454F31" w:rsidRPr="00585E68">
        <w:rPr>
          <w:rFonts w:ascii="Arial" w:hAnsi="Arial" w:cs="Arial"/>
          <w:sz w:val="24"/>
          <w:szCs w:val="24"/>
        </w:rPr>
        <w:t xml:space="preserve">Cari </w:t>
      </w:r>
      <w:r w:rsidRPr="00585E68">
        <w:rPr>
          <w:rFonts w:ascii="Arial" w:hAnsi="Arial" w:cs="Arial"/>
          <w:sz w:val="24"/>
          <w:szCs w:val="24"/>
        </w:rPr>
        <w:t xml:space="preserve">işlemler </w:t>
      </w:r>
      <w:r w:rsidR="00454F31" w:rsidRPr="00585E68">
        <w:rPr>
          <w:rFonts w:ascii="Arial" w:hAnsi="Arial" w:cs="Arial"/>
          <w:sz w:val="24"/>
          <w:szCs w:val="24"/>
        </w:rPr>
        <w:t>açığı</w:t>
      </w:r>
      <w:r w:rsidR="00454F31" w:rsidRPr="00585E68">
        <w:rPr>
          <w:rFonts w:ascii="Arial" w:hAnsi="Arial" w:cs="Arial"/>
          <w:sz w:val="24"/>
          <w:szCs w:val="24"/>
          <w:lang w:val="tr-TR"/>
        </w:rPr>
        <w:t xml:space="preserve">nın </w:t>
      </w:r>
      <w:proofErr w:type="spellStart"/>
      <w:r w:rsidR="00454F31" w:rsidRPr="00585E68">
        <w:rPr>
          <w:rFonts w:ascii="Arial" w:hAnsi="Arial" w:cs="Arial"/>
          <w:sz w:val="24"/>
          <w:szCs w:val="24"/>
          <w:lang w:val="tr-TR"/>
        </w:rPr>
        <w:t>GSYH’ya</w:t>
      </w:r>
      <w:proofErr w:type="spellEnd"/>
      <w:r w:rsidR="00454F31" w:rsidRPr="00585E68">
        <w:rPr>
          <w:rFonts w:ascii="Arial" w:hAnsi="Arial" w:cs="Arial"/>
          <w:sz w:val="24"/>
          <w:szCs w:val="24"/>
          <w:lang w:val="tr-TR"/>
        </w:rPr>
        <w:t xml:space="preserve"> oranı 2012 yılındaki yüzde 6,2’lik seviyesinden 2013 yılında yüzde 7,9’a </w:t>
      </w:r>
      <w:r w:rsidR="00454F31" w:rsidRPr="00585E68">
        <w:rPr>
          <w:rFonts w:ascii="Arial" w:hAnsi="Arial" w:cs="Arial"/>
          <w:sz w:val="24"/>
          <w:szCs w:val="24"/>
        </w:rPr>
        <w:t>yükselmiş</w:t>
      </w:r>
      <w:r w:rsidR="00454F31" w:rsidRPr="00585E68">
        <w:rPr>
          <w:rFonts w:ascii="Arial" w:hAnsi="Arial" w:cs="Arial"/>
          <w:sz w:val="24"/>
          <w:szCs w:val="24"/>
          <w:lang w:val="tr-TR"/>
        </w:rPr>
        <w:t>tir.</w:t>
      </w:r>
      <w:r w:rsidR="00454F31" w:rsidRPr="00585E68">
        <w:rPr>
          <w:rFonts w:ascii="Arial" w:hAnsi="Arial" w:cs="Arial"/>
          <w:sz w:val="24"/>
          <w:szCs w:val="24"/>
        </w:rPr>
        <w:t xml:space="preserve"> </w:t>
      </w:r>
      <w:r w:rsidR="00454F31" w:rsidRPr="00585E68">
        <w:rPr>
          <w:rFonts w:ascii="Arial" w:hAnsi="Arial" w:cs="Arial"/>
          <w:sz w:val="24"/>
          <w:szCs w:val="24"/>
          <w:lang w:val="tr-TR"/>
        </w:rPr>
        <w:t xml:space="preserve">Altın ticareti hariç tutulduğunda ise cari açık aynı dönemde yüzde 6,9’dan yüzde 6,5’e gerilemiştir. </w:t>
      </w:r>
    </w:p>
    <w:p w:rsidR="00824569" w:rsidRPr="00585E68" w:rsidRDefault="00954A03"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lang w:val="tr-TR"/>
        </w:rPr>
        <w:lastRenderedPageBreak/>
        <w:t>Yurt içi</w:t>
      </w:r>
      <w:r w:rsidR="005E0C34" w:rsidRPr="00585E68">
        <w:rPr>
          <w:rFonts w:ascii="Arial" w:hAnsi="Arial" w:cs="Arial"/>
          <w:sz w:val="24"/>
          <w:szCs w:val="24"/>
          <w:lang w:val="tr-TR"/>
        </w:rPr>
        <w:t xml:space="preserve"> talebi sınırlandırmaya </w:t>
      </w:r>
      <w:r w:rsidR="00BC7B12" w:rsidRPr="00585E68">
        <w:rPr>
          <w:rFonts w:ascii="Arial" w:hAnsi="Arial" w:cs="Arial"/>
          <w:sz w:val="24"/>
          <w:szCs w:val="24"/>
          <w:lang w:val="tr-TR"/>
        </w:rPr>
        <w:t xml:space="preserve">yönelik alınan </w:t>
      </w:r>
      <w:r w:rsidR="00853E19" w:rsidRPr="00585E68">
        <w:rPr>
          <w:rFonts w:ascii="Arial" w:hAnsi="Arial" w:cs="Arial"/>
          <w:sz w:val="24"/>
          <w:szCs w:val="24"/>
          <w:lang w:val="tr-TR"/>
        </w:rPr>
        <w:t>tedbirlerin de etkisiyle</w:t>
      </w:r>
      <w:r w:rsidR="005E0C34" w:rsidRPr="00585E68">
        <w:rPr>
          <w:rFonts w:ascii="Arial" w:hAnsi="Arial" w:cs="Arial"/>
          <w:sz w:val="24"/>
          <w:szCs w:val="24"/>
          <w:lang w:val="tr-TR"/>
        </w:rPr>
        <w:t xml:space="preserve"> altın hariç ithalat artışı önemli ölçüde yavaşlarken</w:t>
      </w:r>
      <w:r w:rsidR="00CA0931" w:rsidRPr="00585E68">
        <w:rPr>
          <w:rFonts w:ascii="Arial" w:hAnsi="Arial" w:cs="Arial"/>
          <w:sz w:val="24"/>
          <w:szCs w:val="24"/>
          <w:lang w:val="tr-TR"/>
        </w:rPr>
        <w:t>,</w:t>
      </w:r>
      <w:r w:rsidR="00853E19" w:rsidRPr="00585E68">
        <w:rPr>
          <w:rFonts w:ascii="Arial" w:hAnsi="Arial" w:cs="Arial"/>
          <w:sz w:val="24"/>
          <w:szCs w:val="24"/>
          <w:lang w:val="tr-TR"/>
        </w:rPr>
        <w:t xml:space="preserve"> </w:t>
      </w:r>
      <w:r w:rsidR="005E0C34" w:rsidRPr="00585E68">
        <w:rPr>
          <w:rFonts w:ascii="Arial" w:hAnsi="Arial" w:cs="Arial"/>
          <w:sz w:val="24"/>
          <w:szCs w:val="24"/>
          <w:lang w:val="tr-TR"/>
        </w:rPr>
        <w:t xml:space="preserve">2014 yılında altın </w:t>
      </w:r>
      <w:r w:rsidR="00853E19" w:rsidRPr="00585E68">
        <w:rPr>
          <w:rFonts w:ascii="Arial" w:hAnsi="Arial" w:cs="Arial"/>
          <w:sz w:val="24"/>
          <w:szCs w:val="24"/>
          <w:lang w:val="tr-TR"/>
        </w:rPr>
        <w:t>ithalat</w:t>
      </w:r>
      <w:r w:rsidR="005E0C34" w:rsidRPr="00585E68">
        <w:rPr>
          <w:rFonts w:ascii="Arial" w:hAnsi="Arial" w:cs="Arial"/>
          <w:sz w:val="24"/>
          <w:szCs w:val="24"/>
          <w:lang w:val="tr-TR"/>
        </w:rPr>
        <w:t>ındaki normalleşmenin etkisiyle toplam ithalatın azal</w:t>
      </w:r>
      <w:r w:rsidR="00992BB4" w:rsidRPr="00585E68">
        <w:rPr>
          <w:rFonts w:ascii="Arial" w:hAnsi="Arial" w:cs="Arial"/>
          <w:sz w:val="24"/>
          <w:szCs w:val="24"/>
          <w:lang w:val="tr-TR"/>
        </w:rPr>
        <w:t xml:space="preserve">arak 244 milyar dolar düzeyinde </w:t>
      </w:r>
      <w:r w:rsidR="00E35D06" w:rsidRPr="00585E68">
        <w:rPr>
          <w:rFonts w:ascii="Arial" w:hAnsi="Arial" w:cs="Arial"/>
          <w:sz w:val="24"/>
          <w:szCs w:val="24"/>
          <w:lang w:val="tr-TR"/>
        </w:rPr>
        <w:t>ol</w:t>
      </w:r>
      <w:r w:rsidR="005E0C34" w:rsidRPr="00585E68">
        <w:rPr>
          <w:rFonts w:ascii="Arial" w:hAnsi="Arial" w:cs="Arial"/>
          <w:sz w:val="24"/>
          <w:szCs w:val="24"/>
          <w:lang w:val="tr-TR"/>
        </w:rPr>
        <w:t xml:space="preserve">ması beklenmektedir. </w:t>
      </w:r>
      <w:r w:rsidR="00482C21" w:rsidRPr="00585E68">
        <w:rPr>
          <w:rFonts w:ascii="Arial" w:hAnsi="Arial" w:cs="Arial"/>
          <w:sz w:val="24"/>
          <w:szCs w:val="24"/>
          <w:lang w:val="tr-TR"/>
        </w:rPr>
        <w:t>Siyasi gelişmeler nedeniyle k</w:t>
      </w:r>
      <w:r w:rsidR="00946D31" w:rsidRPr="00585E68">
        <w:rPr>
          <w:rFonts w:ascii="Arial" w:hAnsi="Arial" w:cs="Arial"/>
          <w:sz w:val="24"/>
          <w:szCs w:val="24"/>
          <w:lang w:val="tr-TR"/>
        </w:rPr>
        <w:t>omşu ülkeler</w:t>
      </w:r>
      <w:r w:rsidR="00482C21" w:rsidRPr="00585E68">
        <w:rPr>
          <w:rFonts w:ascii="Arial" w:hAnsi="Arial" w:cs="Arial"/>
          <w:sz w:val="24"/>
          <w:szCs w:val="24"/>
          <w:lang w:val="tr-TR"/>
        </w:rPr>
        <w:t xml:space="preserve">e yönelik ihracattaki </w:t>
      </w:r>
      <w:r w:rsidR="00946D31" w:rsidRPr="00585E68">
        <w:rPr>
          <w:rFonts w:ascii="Arial" w:hAnsi="Arial" w:cs="Arial"/>
          <w:sz w:val="24"/>
          <w:szCs w:val="24"/>
          <w:lang w:val="tr-TR"/>
        </w:rPr>
        <w:t xml:space="preserve">daralmaya rağmen AB ülkelerindeki kısmî toparlanma sayesinde ihracatın </w:t>
      </w:r>
      <w:r w:rsidR="002F4097" w:rsidRPr="00585E68">
        <w:rPr>
          <w:rFonts w:ascii="Arial" w:hAnsi="Arial" w:cs="Arial"/>
          <w:sz w:val="24"/>
          <w:szCs w:val="24"/>
          <w:lang w:val="tr-TR"/>
        </w:rPr>
        <w:t xml:space="preserve">2014 yılında </w:t>
      </w:r>
      <w:r w:rsidR="00946D31" w:rsidRPr="00585E68">
        <w:rPr>
          <w:rFonts w:ascii="Arial" w:hAnsi="Arial" w:cs="Arial"/>
          <w:sz w:val="24"/>
          <w:szCs w:val="24"/>
          <w:lang w:val="tr-TR"/>
        </w:rPr>
        <w:t>artış eğilimini koruyacağı</w:t>
      </w:r>
      <w:r w:rsidR="00992BB4" w:rsidRPr="00585E68">
        <w:rPr>
          <w:rFonts w:ascii="Arial" w:hAnsi="Arial" w:cs="Arial"/>
          <w:sz w:val="24"/>
          <w:szCs w:val="24"/>
          <w:lang w:val="tr-TR"/>
        </w:rPr>
        <w:t xml:space="preserve"> ve 160,5</w:t>
      </w:r>
      <w:r w:rsidR="00E35D06" w:rsidRPr="00585E68">
        <w:rPr>
          <w:rFonts w:ascii="Arial" w:hAnsi="Arial" w:cs="Arial"/>
          <w:sz w:val="24"/>
          <w:szCs w:val="24"/>
          <w:lang w:val="tr-TR"/>
        </w:rPr>
        <w:t xml:space="preserve"> milyar dolar</w:t>
      </w:r>
      <w:r w:rsidR="00871A3E" w:rsidRPr="00585E68">
        <w:rPr>
          <w:rFonts w:ascii="Arial" w:hAnsi="Arial" w:cs="Arial"/>
          <w:sz w:val="24"/>
          <w:szCs w:val="24"/>
          <w:lang w:val="tr-TR"/>
        </w:rPr>
        <w:t xml:space="preserve"> olar</w:t>
      </w:r>
      <w:r w:rsidR="00E35D06" w:rsidRPr="00585E68">
        <w:rPr>
          <w:rFonts w:ascii="Arial" w:hAnsi="Arial" w:cs="Arial"/>
          <w:sz w:val="24"/>
          <w:szCs w:val="24"/>
          <w:lang w:val="tr-TR"/>
        </w:rPr>
        <w:t>a</w:t>
      </w:r>
      <w:r w:rsidR="00871A3E" w:rsidRPr="00585E68">
        <w:rPr>
          <w:rFonts w:ascii="Arial" w:hAnsi="Arial" w:cs="Arial"/>
          <w:sz w:val="24"/>
          <w:szCs w:val="24"/>
          <w:lang w:val="tr-TR"/>
        </w:rPr>
        <w:t>k</w:t>
      </w:r>
      <w:r w:rsidR="00946D31" w:rsidRPr="00585E68">
        <w:rPr>
          <w:rFonts w:ascii="Arial" w:hAnsi="Arial" w:cs="Arial"/>
          <w:sz w:val="24"/>
          <w:szCs w:val="24"/>
          <w:lang w:val="tr-TR"/>
        </w:rPr>
        <w:t xml:space="preserve"> </w:t>
      </w:r>
      <w:r w:rsidR="00E35D06" w:rsidRPr="00585E68">
        <w:rPr>
          <w:rFonts w:ascii="Arial" w:hAnsi="Arial" w:cs="Arial"/>
          <w:sz w:val="24"/>
          <w:szCs w:val="24"/>
          <w:lang w:val="tr-TR"/>
        </w:rPr>
        <w:t>gerçekleş</w:t>
      </w:r>
      <w:r w:rsidR="00871A3E" w:rsidRPr="00585E68">
        <w:rPr>
          <w:rFonts w:ascii="Arial" w:hAnsi="Arial" w:cs="Arial"/>
          <w:sz w:val="24"/>
          <w:szCs w:val="24"/>
          <w:lang w:val="tr-TR"/>
        </w:rPr>
        <w:t xml:space="preserve">eceği </w:t>
      </w:r>
      <w:r w:rsidR="00946D31" w:rsidRPr="00585E68">
        <w:rPr>
          <w:rFonts w:ascii="Arial" w:hAnsi="Arial" w:cs="Arial"/>
          <w:sz w:val="24"/>
          <w:szCs w:val="24"/>
          <w:lang w:val="tr-TR"/>
        </w:rPr>
        <w:t xml:space="preserve">tahmin edilmektedir. Bu gelişmelere </w:t>
      </w:r>
      <w:r w:rsidR="00853E19" w:rsidRPr="00585E68">
        <w:rPr>
          <w:rFonts w:ascii="Arial" w:hAnsi="Arial" w:cs="Arial"/>
          <w:sz w:val="24"/>
          <w:szCs w:val="24"/>
          <w:lang w:val="tr-TR"/>
        </w:rPr>
        <w:t>bağlı olarak</w:t>
      </w:r>
      <w:r w:rsidR="00853E19" w:rsidRPr="00585E68">
        <w:rPr>
          <w:rFonts w:ascii="Arial" w:hAnsi="Arial" w:cs="Arial"/>
          <w:sz w:val="24"/>
          <w:szCs w:val="24"/>
        </w:rPr>
        <w:t xml:space="preserve"> 2014 yılınd</w:t>
      </w:r>
      <w:r w:rsidR="00853E19" w:rsidRPr="00585E68">
        <w:rPr>
          <w:rFonts w:ascii="Arial" w:hAnsi="Arial" w:cs="Arial"/>
          <w:sz w:val="24"/>
          <w:szCs w:val="24"/>
          <w:lang w:val="tr-TR"/>
        </w:rPr>
        <w:t>a</w:t>
      </w:r>
      <w:r w:rsidR="00853E19" w:rsidRPr="00585E68">
        <w:rPr>
          <w:rFonts w:ascii="Arial" w:hAnsi="Arial" w:cs="Arial"/>
          <w:sz w:val="24"/>
          <w:szCs w:val="24"/>
        </w:rPr>
        <w:t xml:space="preserve"> </w:t>
      </w:r>
      <w:r w:rsidR="00BC7B12" w:rsidRPr="00585E68">
        <w:rPr>
          <w:rFonts w:ascii="Arial" w:hAnsi="Arial" w:cs="Arial"/>
          <w:sz w:val="24"/>
          <w:szCs w:val="24"/>
        </w:rPr>
        <w:t>dış ticaret açığı</w:t>
      </w:r>
      <w:r w:rsidR="00BC7B12" w:rsidRPr="00585E68">
        <w:rPr>
          <w:rFonts w:ascii="Arial" w:hAnsi="Arial" w:cs="Arial"/>
          <w:sz w:val="24"/>
          <w:szCs w:val="24"/>
          <w:lang w:val="tr-TR"/>
        </w:rPr>
        <w:t xml:space="preserve">nın </w:t>
      </w:r>
      <w:proofErr w:type="spellStart"/>
      <w:r w:rsidR="00BC7B12" w:rsidRPr="00585E68">
        <w:rPr>
          <w:rFonts w:ascii="Arial" w:hAnsi="Arial" w:cs="Arial"/>
          <w:sz w:val="24"/>
          <w:szCs w:val="24"/>
          <w:lang w:val="tr-TR"/>
        </w:rPr>
        <w:t>GSYH’ya</w:t>
      </w:r>
      <w:proofErr w:type="spellEnd"/>
      <w:r w:rsidR="00BC7B12" w:rsidRPr="00585E68">
        <w:rPr>
          <w:rFonts w:ascii="Arial" w:hAnsi="Arial" w:cs="Arial"/>
          <w:sz w:val="24"/>
          <w:szCs w:val="24"/>
          <w:lang w:val="tr-TR"/>
        </w:rPr>
        <w:t xml:space="preserve"> oranının yüzde 10,3’e, </w:t>
      </w:r>
      <w:r w:rsidR="00824569" w:rsidRPr="00585E68">
        <w:rPr>
          <w:rFonts w:ascii="Arial" w:hAnsi="Arial" w:cs="Arial"/>
          <w:sz w:val="24"/>
          <w:szCs w:val="24"/>
        </w:rPr>
        <w:t xml:space="preserve">altın </w:t>
      </w:r>
      <w:r w:rsidR="00BF3339" w:rsidRPr="00585E68">
        <w:rPr>
          <w:rFonts w:ascii="Arial" w:hAnsi="Arial" w:cs="Arial"/>
          <w:sz w:val="24"/>
          <w:szCs w:val="24"/>
        </w:rPr>
        <w:t>hariç dış ticaret açığı</w:t>
      </w:r>
      <w:r w:rsidR="00853E19" w:rsidRPr="00585E68">
        <w:rPr>
          <w:rFonts w:ascii="Arial" w:hAnsi="Arial" w:cs="Arial"/>
          <w:sz w:val="24"/>
          <w:szCs w:val="24"/>
          <w:lang w:val="tr-TR"/>
        </w:rPr>
        <w:t>nın</w:t>
      </w:r>
      <w:r w:rsidR="00824569" w:rsidRPr="00585E68">
        <w:rPr>
          <w:rFonts w:ascii="Arial" w:hAnsi="Arial" w:cs="Arial"/>
          <w:sz w:val="24"/>
          <w:szCs w:val="24"/>
        </w:rPr>
        <w:t xml:space="preserve"> </w:t>
      </w:r>
      <w:r w:rsidR="00BC7B12" w:rsidRPr="00585E68">
        <w:rPr>
          <w:rFonts w:ascii="Arial" w:hAnsi="Arial" w:cs="Arial"/>
          <w:sz w:val="24"/>
          <w:szCs w:val="24"/>
          <w:lang w:val="tr-TR"/>
        </w:rPr>
        <w:t xml:space="preserve">ise yüzde 10,2’ye gerilemesi </w:t>
      </w:r>
      <w:r w:rsidR="00824569" w:rsidRPr="00585E68">
        <w:rPr>
          <w:rFonts w:ascii="Arial" w:hAnsi="Arial" w:cs="Arial"/>
          <w:sz w:val="24"/>
          <w:szCs w:val="24"/>
        </w:rPr>
        <w:t>öngörülmektedir. Dış ticaret açığındaki bu gelişmeler neticesinde</w:t>
      </w:r>
      <w:r w:rsidR="00C926F8" w:rsidRPr="00585E68">
        <w:rPr>
          <w:rFonts w:ascii="Arial" w:hAnsi="Arial" w:cs="Arial"/>
          <w:sz w:val="24"/>
          <w:szCs w:val="24"/>
          <w:lang w:val="tr-TR"/>
        </w:rPr>
        <w:t>,</w:t>
      </w:r>
      <w:r w:rsidR="00824569" w:rsidRPr="00585E68">
        <w:rPr>
          <w:rFonts w:ascii="Arial" w:hAnsi="Arial" w:cs="Arial"/>
          <w:sz w:val="24"/>
          <w:szCs w:val="24"/>
        </w:rPr>
        <w:t xml:space="preserve"> cari işlemler açığının </w:t>
      </w:r>
      <w:proofErr w:type="spellStart"/>
      <w:r w:rsidR="00824569" w:rsidRPr="00585E68">
        <w:rPr>
          <w:rFonts w:ascii="Arial" w:hAnsi="Arial" w:cs="Arial"/>
          <w:sz w:val="24"/>
          <w:szCs w:val="24"/>
        </w:rPr>
        <w:t>GSYH’ya</w:t>
      </w:r>
      <w:proofErr w:type="spellEnd"/>
      <w:r w:rsidR="00824569" w:rsidRPr="00585E68">
        <w:rPr>
          <w:rFonts w:ascii="Arial" w:hAnsi="Arial" w:cs="Arial"/>
          <w:sz w:val="24"/>
          <w:szCs w:val="24"/>
        </w:rPr>
        <w:t xml:space="preserve"> oranının, 2014 yılı sonunda yüzde 5,7’ye</w:t>
      </w:r>
      <w:r w:rsidR="00BC7B12" w:rsidRPr="00947306">
        <w:rPr>
          <w:rFonts w:ascii="Arial" w:hAnsi="Arial" w:cs="Arial"/>
          <w:sz w:val="24"/>
          <w:szCs w:val="24"/>
        </w:rPr>
        <w:t>,</w:t>
      </w:r>
      <w:r w:rsidR="00824569" w:rsidRPr="00585E68">
        <w:rPr>
          <w:rFonts w:ascii="Arial" w:hAnsi="Arial" w:cs="Arial"/>
          <w:sz w:val="24"/>
          <w:szCs w:val="24"/>
        </w:rPr>
        <w:t xml:space="preserve"> </w:t>
      </w:r>
      <w:r w:rsidR="00BC7B12" w:rsidRPr="00585E68">
        <w:rPr>
          <w:rFonts w:ascii="Arial" w:hAnsi="Arial" w:cs="Arial"/>
          <w:sz w:val="24"/>
          <w:szCs w:val="24"/>
        </w:rPr>
        <w:t>alt</w:t>
      </w:r>
      <w:r w:rsidR="00BC7B12" w:rsidRPr="00947306">
        <w:rPr>
          <w:rFonts w:ascii="Arial" w:hAnsi="Arial" w:cs="Arial"/>
          <w:sz w:val="24"/>
          <w:szCs w:val="24"/>
        </w:rPr>
        <w:t>ı</w:t>
      </w:r>
      <w:r w:rsidR="00BC7B12" w:rsidRPr="00585E68">
        <w:rPr>
          <w:rFonts w:ascii="Arial" w:hAnsi="Arial" w:cs="Arial"/>
          <w:sz w:val="24"/>
          <w:szCs w:val="24"/>
        </w:rPr>
        <w:t xml:space="preserve">n </w:t>
      </w:r>
      <w:r w:rsidR="00824569" w:rsidRPr="00585E68">
        <w:rPr>
          <w:rFonts w:ascii="Arial" w:hAnsi="Arial" w:cs="Arial"/>
          <w:sz w:val="24"/>
          <w:szCs w:val="24"/>
        </w:rPr>
        <w:t>ticareti hariç tutulduğunda ise yüzde 5,</w:t>
      </w:r>
      <w:r w:rsidR="00CA0931" w:rsidRPr="00947306">
        <w:rPr>
          <w:rFonts w:ascii="Arial" w:hAnsi="Arial" w:cs="Arial"/>
          <w:sz w:val="24"/>
          <w:szCs w:val="24"/>
        </w:rPr>
        <w:t>6</w:t>
      </w:r>
      <w:r w:rsidR="00824569" w:rsidRPr="0010769B">
        <w:rPr>
          <w:rFonts w:ascii="Arial" w:hAnsi="Arial" w:cs="Arial"/>
          <w:sz w:val="24"/>
          <w:szCs w:val="24"/>
        </w:rPr>
        <w:t>’</w:t>
      </w:r>
      <w:r w:rsidR="00CA0931" w:rsidRPr="00947306">
        <w:rPr>
          <w:rFonts w:ascii="Arial" w:hAnsi="Arial" w:cs="Arial"/>
          <w:sz w:val="24"/>
          <w:szCs w:val="24"/>
        </w:rPr>
        <w:t>ya</w:t>
      </w:r>
      <w:r w:rsidR="00824569" w:rsidRPr="00585E68">
        <w:rPr>
          <w:rFonts w:ascii="Arial" w:hAnsi="Arial" w:cs="Arial"/>
          <w:sz w:val="24"/>
          <w:szCs w:val="24"/>
        </w:rPr>
        <w:t xml:space="preserve"> düşeceği tahmin edilmektedir.  </w:t>
      </w:r>
    </w:p>
    <w:p w:rsidR="00A36A8E" w:rsidRPr="00585E68" w:rsidRDefault="00A36A8E"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2013 yılı ilk yarısında azalma eğiliminde olan temel mal fiyatları yılın ikinci yarısında Türk Lirasında yaşanan değer kay</w:t>
      </w:r>
      <w:r w:rsidR="00F76F00" w:rsidRPr="00947306">
        <w:rPr>
          <w:rFonts w:ascii="Arial" w:hAnsi="Arial" w:cs="Arial"/>
          <w:sz w:val="24"/>
          <w:szCs w:val="24"/>
        </w:rPr>
        <w:t>bıyla</w:t>
      </w:r>
      <w:r w:rsidRPr="00585E68">
        <w:rPr>
          <w:rFonts w:ascii="Arial" w:hAnsi="Arial" w:cs="Arial"/>
          <w:sz w:val="24"/>
          <w:szCs w:val="24"/>
        </w:rPr>
        <w:t xml:space="preserve"> birlikte ivmelenmeye başl</w:t>
      </w:r>
      <w:r w:rsidR="003859D1" w:rsidRPr="00585E68">
        <w:rPr>
          <w:rFonts w:ascii="Arial" w:hAnsi="Arial" w:cs="Arial"/>
          <w:sz w:val="24"/>
          <w:szCs w:val="24"/>
        </w:rPr>
        <w:t>amıştır. Hizmet fiyatlar</w:t>
      </w:r>
      <w:r w:rsidRPr="00585E68">
        <w:rPr>
          <w:rFonts w:ascii="Arial" w:hAnsi="Arial" w:cs="Arial"/>
          <w:sz w:val="24"/>
          <w:szCs w:val="24"/>
        </w:rPr>
        <w:t>ında</w:t>
      </w:r>
      <w:r w:rsidR="003859D1" w:rsidRPr="00947306">
        <w:rPr>
          <w:rFonts w:ascii="Arial" w:hAnsi="Arial" w:cs="Arial"/>
          <w:sz w:val="24"/>
          <w:szCs w:val="24"/>
        </w:rPr>
        <w:t>,</w:t>
      </w:r>
      <w:r w:rsidR="00B063E6" w:rsidRPr="00947306">
        <w:rPr>
          <w:rFonts w:ascii="Arial" w:hAnsi="Arial" w:cs="Arial"/>
          <w:sz w:val="24"/>
          <w:szCs w:val="24"/>
        </w:rPr>
        <w:t xml:space="preserve"> geriye dönük fiyatlama davranışının giderek güçlenmesi </w:t>
      </w:r>
      <w:r w:rsidRPr="00585E68">
        <w:rPr>
          <w:rFonts w:ascii="Arial" w:hAnsi="Arial" w:cs="Arial"/>
          <w:sz w:val="24"/>
          <w:szCs w:val="24"/>
        </w:rPr>
        <w:t>ve maliyet artırıcı gelişmeler nedeniyle yüksek artışlar kaydedilmiştir. Bu gelişmeler çerçevesinde yılın ilk yarısında yatay seyreden çekirdek enflasyon</w:t>
      </w:r>
      <w:r w:rsidR="00122EDD" w:rsidRPr="00947306">
        <w:rPr>
          <w:rFonts w:ascii="Arial" w:hAnsi="Arial" w:cs="Arial"/>
          <w:sz w:val="24"/>
          <w:szCs w:val="24"/>
        </w:rPr>
        <w:t xml:space="preserve"> (ÖKTG-I endeksi)</w:t>
      </w:r>
      <w:r w:rsidRPr="00585E68">
        <w:rPr>
          <w:rFonts w:ascii="Arial" w:hAnsi="Arial" w:cs="Arial"/>
          <w:sz w:val="24"/>
          <w:szCs w:val="24"/>
        </w:rPr>
        <w:t xml:space="preserve"> yılın ikinci yarısında ivmelenmeye başlamış ve 2013 yılı sonunda yüzde 7,1 oranında</w:t>
      </w:r>
      <w:r w:rsidR="00122EDD" w:rsidRPr="00947306">
        <w:rPr>
          <w:rFonts w:ascii="Arial" w:hAnsi="Arial" w:cs="Arial"/>
          <w:sz w:val="24"/>
          <w:szCs w:val="24"/>
        </w:rPr>
        <w:t xml:space="preserve"> artış yaşanmıştır</w:t>
      </w:r>
      <w:r w:rsidRPr="00585E68">
        <w:rPr>
          <w:rFonts w:ascii="Arial" w:hAnsi="Arial" w:cs="Arial"/>
          <w:sz w:val="24"/>
          <w:szCs w:val="24"/>
        </w:rPr>
        <w:t>. Gıda fiyatlarında baz etkileri nedeniyle dalgalı bir seyir yaşanmış ve endeks</w:t>
      </w:r>
      <w:r w:rsidR="00122EDD" w:rsidRPr="00947306">
        <w:rPr>
          <w:rFonts w:ascii="Arial" w:hAnsi="Arial" w:cs="Arial"/>
          <w:sz w:val="24"/>
          <w:szCs w:val="24"/>
        </w:rPr>
        <w:t>teki artış</w:t>
      </w:r>
      <w:r w:rsidRPr="00585E68">
        <w:rPr>
          <w:rFonts w:ascii="Arial" w:hAnsi="Arial" w:cs="Arial"/>
          <w:sz w:val="24"/>
          <w:szCs w:val="24"/>
        </w:rPr>
        <w:t xml:space="preserve"> bir öncek</w:t>
      </w:r>
      <w:r w:rsidR="00122EDD" w:rsidRPr="00585E68">
        <w:rPr>
          <w:rFonts w:ascii="Arial" w:hAnsi="Arial" w:cs="Arial"/>
          <w:sz w:val="24"/>
          <w:szCs w:val="24"/>
        </w:rPr>
        <w:t>i yıla göre belirgin şekilde</w:t>
      </w:r>
      <w:r w:rsidR="00122EDD" w:rsidRPr="00947306">
        <w:rPr>
          <w:rFonts w:ascii="Arial" w:hAnsi="Arial" w:cs="Arial"/>
          <w:sz w:val="24"/>
          <w:szCs w:val="24"/>
        </w:rPr>
        <w:t xml:space="preserve"> hızlanarak yüzde 9,7 oranında gerçekleşmiştir.</w:t>
      </w:r>
      <w:r w:rsidRPr="00585E68">
        <w:rPr>
          <w:rFonts w:ascii="Arial" w:hAnsi="Arial" w:cs="Arial"/>
          <w:sz w:val="24"/>
          <w:szCs w:val="24"/>
        </w:rPr>
        <w:t xml:space="preserve"> </w:t>
      </w:r>
      <w:r w:rsidR="005E50BB" w:rsidRPr="00947306">
        <w:rPr>
          <w:rFonts w:ascii="Arial" w:hAnsi="Arial" w:cs="Arial"/>
          <w:sz w:val="24"/>
          <w:szCs w:val="24"/>
        </w:rPr>
        <w:t>Y</w:t>
      </w:r>
      <w:r w:rsidR="005E50BB" w:rsidRPr="00585E68">
        <w:rPr>
          <w:rFonts w:ascii="Arial" w:hAnsi="Arial" w:cs="Arial"/>
          <w:sz w:val="24"/>
          <w:szCs w:val="24"/>
        </w:rPr>
        <w:t>ıl genelinde</w:t>
      </w:r>
      <w:r w:rsidR="005E50BB" w:rsidRPr="00947306">
        <w:rPr>
          <w:rFonts w:ascii="Arial" w:hAnsi="Arial" w:cs="Arial"/>
          <w:sz w:val="24"/>
          <w:szCs w:val="24"/>
        </w:rPr>
        <w:t>,</w:t>
      </w:r>
      <w:r w:rsidR="005E50BB" w:rsidRPr="00585E68">
        <w:rPr>
          <w:rFonts w:ascii="Arial" w:hAnsi="Arial" w:cs="Arial"/>
          <w:sz w:val="24"/>
          <w:szCs w:val="24"/>
        </w:rPr>
        <w:t xml:space="preserve"> </w:t>
      </w:r>
      <w:r w:rsidR="005E50BB" w:rsidRPr="00947306">
        <w:rPr>
          <w:rFonts w:ascii="Arial" w:hAnsi="Arial" w:cs="Arial"/>
          <w:sz w:val="24"/>
          <w:szCs w:val="24"/>
        </w:rPr>
        <w:t>e</w:t>
      </w:r>
      <w:r w:rsidRPr="00585E68">
        <w:rPr>
          <w:rFonts w:ascii="Arial" w:hAnsi="Arial" w:cs="Arial"/>
          <w:sz w:val="24"/>
          <w:szCs w:val="24"/>
        </w:rPr>
        <w:t xml:space="preserve">nerji fiyatlarında </w:t>
      </w:r>
      <w:r w:rsidR="005E50BB" w:rsidRPr="00585E68">
        <w:rPr>
          <w:rFonts w:ascii="Arial" w:hAnsi="Arial" w:cs="Arial"/>
          <w:sz w:val="24"/>
          <w:szCs w:val="24"/>
        </w:rPr>
        <w:t>düşme eğilimi gözlenirken</w:t>
      </w:r>
      <w:r w:rsidRPr="00585E68">
        <w:rPr>
          <w:rFonts w:ascii="Arial" w:hAnsi="Arial" w:cs="Arial"/>
          <w:sz w:val="24"/>
          <w:szCs w:val="24"/>
        </w:rPr>
        <w:t xml:space="preserve"> alkollü </w:t>
      </w:r>
      <w:r w:rsidRPr="00947306">
        <w:rPr>
          <w:rFonts w:ascii="Arial" w:hAnsi="Arial" w:cs="Arial"/>
          <w:sz w:val="24"/>
          <w:szCs w:val="24"/>
        </w:rPr>
        <w:t>içecekler</w:t>
      </w:r>
      <w:r w:rsidRPr="00585E68">
        <w:rPr>
          <w:rFonts w:ascii="Arial" w:hAnsi="Arial" w:cs="Arial"/>
          <w:sz w:val="24"/>
          <w:szCs w:val="24"/>
        </w:rPr>
        <w:t xml:space="preserve"> ve tütün ürünleri fiyatları ise yapılan </w:t>
      </w:r>
      <w:r w:rsidR="00892B11" w:rsidRPr="00947306">
        <w:rPr>
          <w:rFonts w:ascii="Arial" w:hAnsi="Arial" w:cs="Arial"/>
          <w:sz w:val="24"/>
          <w:szCs w:val="24"/>
        </w:rPr>
        <w:t xml:space="preserve">vergi </w:t>
      </w:r>
      <w:r w:rsidRPr="00585E68">
        <w:rPr>
          <w:rFonts w:ascii="Arial" w:hAnsi="Arial" w:cs="Arial"/>
          <w:sz w:val="24"/>
          <w:szCs w:val="24"/>
        </w:rPr>
        <w:t>düzenlemeler</w:t>
      </w:r>
      <w:r w:rsidR="00892B11" w:rsidRPr="00947306">
        <w:rPr>
          <w:rFonts w:ascii="Arial" w:hAnsi="Arial" w:cs="Arial"/>
          <w:sz w:val="24"/>
          <w:szCs w:val="24"/>
        </w:rPr>
        <w:t>i</w:t>
      </w:r>
      <w:r w:rsidRPr="00585E68">
        <w:rPr>
          <w:rFonts w:ascii="Arial" w:hAnsi="Arial" w:cs="Arial"/>
          <w:sz w:val="24"/>
          <w:szCs w:val="24"/>
        </w:rPr>
        <w:t xml:space="preserve"> sonucunda yüksek seyretmiştir. Bu gelişmeler sonucunda TÜFE yıllık artış hızı 2013 yılında yüzde 7,4 oranında gerçekleşmiştir.</w:t>
      </w:r>
    </w:p>
    <w:p w:rsidR="00367A33" w:rsidRDefault="00367A33" w:rsidP="00947306">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367A33">
        <w:rPr>
          <w:rFonts w:ascii="Arial" w:hAnsi="Arial" w:cs="Arial"/>
          <w:sz w:val="24"/>
          <w:szCs w:val="24"/>
        </w:rPr>
        <w:t>2014 yılı Ocak-Eylül döneminde TÜFE birikimli artış hızı bir önceki yılın aynı dönemine göre 1,4 puan artarak yüzde 6,4 olarak gerçekleşmiştir. Bu gelişmede, Türk Lirasında yaşanan değer kayıpları ve enflasyon beklentilerindeki bozulmanın fiyatlama davranışları üzerindeki olumsuz etkisi sonrasında çekirdek enflasyonda kaydedilen artışlar belirleyici olmuştur. Bununla birlikte olumsuz hava koşulları nedeniyle belirgin bir şekilde ivmelenen gıda fiyatları ve tütün ürünleri fiyatlarındaki artış da TÜFE birikimli artış hızının ivmelenmesinde etkili olmuştur. Böylece TÜFE yıllık artış hızı 2014 yılı Eylül ayında yüzde 8,9 olarak gerçekleşmiştir. Yılsonunda TÜFE yıllık artış hızının yüzde 9,4 olarak gerçekleşmesi beklenmektedir.</w:t>
      </w:r>
    </w:p>
    <w:p w:rsidR="00A36A8E" w:rsidRPr="00585E68" w:rsidRDefault="00A36A8E"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2013 yılı Mayıs ayından itibaren küresel ekonomideki belirsizliklerin artması so</w:t>
      </w:r>
      <w:r w:rsidR="00B513A1" w:rsidRPr="00585E68">
        <w:rPr>
          <w:rFonts w:ascii="Arial" w:hAnsi="Arial" w:cs="Arial"/>
          <w:sz w:val="24"/>
          <w:szCs w:val="24"/>
        </w:rPr>
        <w:t xml:space="preserve">nucunda </w:t>
      </w:r>
      <w:r w:rsidR="00B513A1" w:rsidRPr="00947306">
        <w:rPr>
          <w:rFonts w:ascii="Arial" w:hAnsi="Arial" w:cs="Arial"/>
          <w:sz w:val="24"/>
          <w:szCs w:val="24"/>
        </w:rPr>
        <w:t xml:space="preserve">diğer </w:t>
      </w:r>
      <w:r w:rsidR="00B513A1" w:rsidRPr="00585E68">
        <w:rPr>
          <w:rFonts w:ascii="Arial" w:hAnsi="Arial" w:cs="Arial"/>
          <w:sz w:val="24"/>
          <w:szCs w:val="24"/>
        </w:rPr>
        <w:t>gelişmekte olan ülkeler</w:t>
      </w:r>
      <w:r w:rsidR="00B513A1" w:rsidRPr="00947306">
        <w:rPr>
          <w:rFonts w:ascii="Arial" w:hAnsi="Arial" w:cs="Arial"/>
          <w:sz w:val="24"/>
          <w:szCs w:val="24"/>
        </w:rPr>
        <w:t>e ve Türkiye’ye</w:t>
      </w:r>
      <w:r w:rsidRPr="00585E68">
        <w:rPr>
          <w:rFonts w:ascii="Arial" w:hAnsi="Arial" w:cs="Arial"/>
          <w:sz w:val="24"/>
          <w:szCs w:val="24"/>
        </w:rPr>
        <w:t xml:space="preserve"> yönelik sermaye akımlarında dalgalanmalar yaşanmaya başlam</w:t>
      </w:r>
      <w:r w:rsidR="00B513A1" w:rsidRPr="00585E68">
        <w:rPr>
          <w:rFonts w:ascii="Arial" w:hAnsi="Arial" w:cs="Arial"/>
          <w:sz w:val="24"/>
          <w:szCs w:val="24"/>
        </w:rPr>
        <w:t>ıştır. Söz konusu dalgalanmalar</w:t>
      </w:r>
      <w:r w:rsidR="00B513A1" w:rsidRPr="00947306">
        <w:rPr>
          <w:rFonts w:ascii="Arial" w:hAnsi="Arial" w:cs="Arial"/>
          <w:sz w:val="24"/>
          <w:szCs w:val="24"/>
        </w:rPr>
        <w:t>ın yurt</w:t>
      </w:r>
      <w:r w:rsidR="00954A03" w:rsidRPr="00947306">
        <w:rPr>
          <w:rFonts w:ascii="Arial" w:hAnsi="Arial" w:cs="Arial"/>
          <w:sz w:val="24"/>
          <w:szCs w:val="24"/>
        </w:rPr>
        <w:t xml:space="preserve"> </w:t>
      </w:r>
      <w:r w:rsidR="00B513A1" w:rsidRPr="00947306">
        <w:rPr>
          <w:rFonts w:ascii="Arial" w:hAnsi="Arial" w:cs="Arial"/>
          <w:sz w:val="24"/>
          <w:szCs w:val="24"/>
        </w:rPr>
        <w:t>içi mali piyasalardaki olumsuz etkilerine</w:t>
      </w:r>
      <w:r w:rsidRPr="00585E68">
        <w:rPr>
          <w:rFonts w:ascii="Arial" w:hAnsi="Arial" w:cs="Arial"/>
          <w:sz w:val="24"/>
          <w:szCs w:val="24"/>
        </w:rPr>
        <w:t xml:space="preserve"> Merkez Bankası, ilk aşamada politika faizi dışındaki araçlarla karşılık vermiştir. Bu </w:t>
      </w:r>
      <w:r w:rsidR="00B513A1" w:rsidRPr="00947306">
        <w:rPr>
          <w:rFonts w:ascii="Arial" w:hAnsi="Arial" w:cs="Arial"/>
          <w:sz w:val="24"/>
          <w:szCs w:val="24"/>
        </w:rPr>
        <w:t>kapsam</w:t>
      </w:r>
      <w:r w:rsidRPr="00585E68">
        <w:rPr>
          <w:rFonts w:ascii="Arial" w:hAnsi="Arial" w:cs="Arial"/>
          <w:sz w:val="24"/>
          <w:szCs w:val="24"/>
        </w:rPr>
        <w:t>da piyasaya verilen</w:t>
      </w:r>
      <w:r w:rsidR="00B513A1" w:rsidRPr="00585E68">
        <w:rPr>
          <w:rFonts w:ascii="Arial" w:hAnsi="Arial" w:cs="Arial"/>
          <w:sz w:val="24"/>
          <w:szCs w:val="24"/>
        </w:rPr>
        <w:t xml:space="preserve"> likiditenin maliyetini</w:t>
      </w:r>
      <w:r w:rsidRPr="00585E68">
        <w:rPr>
          <w:rFonts w:ascii="Arial" w:hAnsi="Arial" w:cs="Arial"/>
          <w:sz w:val="24"/>
          <w:szCs w:val="24"/>
        </w:rPr>
        <w:t xml:space="preserve"> ve piyasadaki döviz likiditesini artırıcı adımlar atılmıştır. Banka</w:t>
      </w:r>
      <w:r w:rsidR="00EC3054" w:rsidRPr="00947306">
        <w:rPr>
          <w:rFonts w:ascii="Arial" w:hAnsi="Arial" w:cs="Arial"/>
          <w:sz w:val="24"/>
          <w:szCs w:val="24"/>
        </w:rPr>
        <w:t>,</w:t>
      </w:r>
      <w:r w:rsidRPr="00585E68">
        <w:rPr>
          <w:rFonts w:ascii="Arial" w:hAnsi="Arial" w:cs="Arial"/>
          <w:sz w:val="24"/>
          <w:szCs w:val="24"/>
        </w:rPr>
        <w:t xml:space="preserve"> 2013 yılı sonuna kadar faiz dışı araçlarla sağladığı bu sıkı duruşu sürdürmüştür. Ancak 2013 yılı sonuna doğru küresel ekonomiye</w:t>
      </w:r>
      <w:r w:rsidR="004A52FF" w:rsidRPr="00585E68">
        <w:rPr>
          <w:rFonts w:ascii="Arial" w:hAnsi="Arial" w:cs="Arial"/>
          <w:sz w:val="24"/>
          <w:szCs w:val="24"/>
        </w:rPr>
        <w:t xml:space="preserve"> ilişkin riskler ve yurt içinde</w:t>
      </w:r>
      <w:r w:rsidR="004A52FF" w:rsidRPr="00947306">
        <w:rPr>
          <w:rFonts w:ascii="Arial" w:hAnsi="Arial" w:cs="Arial"/>
          <w:sz w:val="24"/>
          <w:szCs w:val="24"/>
        </w:rPr>
        <w:t xml:space="preserve">ki </w:t>
      </w:r>
      <w:r w:rsidR="004A52FF" w:rsidRPr="00585E68">
        <w:rPr>
          <w:rFonts w:ascii="Arial" w:hAnsi="Arial" w:cs="Arial"/>
          <w:sz w:val="24"/>
          <w:szCs w:val="24"/>
        </w:rPr>
        <w:t xml:space="preserve">siyasi </w:t>
      </w:r>
      <w:r w:rsidR="004A52FF" w:rsidRPr="00947306">
        <w:rPr>
          <w:rFonts w:ascii="Arial" w:hAnsi="Arial" w:cs="Arial"/>
          <w:sz w:val="24"/>
          <w:szCs w:val="24"/>
        </w:rPr>
        <w:t>gelişme</w:t>
      </w:r>
      <w:r w:rsidRPr="00585E68">
        <w:rPr>
          <w:rFonts w:ascii="Arial" w:hAnsi="Arial" w:cs="Arial"/>
          <w:sz w:val="24"/>
          <w:szCs w:val="24"/>
        </w:rPr>
        <w:t>ler nedeniyle mali piyasalarda yaşanılan dalgalanmalar artmaya başlamıştır. Söz k</w:t>
      </w:r>
      <w:r w:rsidR="00B513A1" w:rsidRPr="00585E68">
        <w:rPr>
          <w:rFonts w:ascii="Arial" w:hAnsi="Arial" w:cs="Arial"/>
          <w:sz w:val="24"/>
          <w:szCs w:val="24"/>
        </w:rPr>
        <w:t>onusu</w:t>
      </w:r>
      <w:r w:rsidRPr="00585E68">
        <w:rPr>
          <w:rFonts w:ascii="Arial" w:hAnsi="Arial" w:cs="Arial"/>
          <w:sz w:val="24"/>
          <w:szCs w:val="24"/>
        </w:rPr>
        <w:t xml:space="preserve"> dalgala</w:t>
      </w:r>
      <w:r w:rsidR="004A52FF" w:rsidRPr="00585E68">
        <w:rPr>
          <w:rFonts w:ascii="Arial" w:hAnsi="Arial" w:cs="Arial"/>
          <w:sz w:val="24"/>
          <w:szCs w:val="24"/>
        </w:rPr>
        <w:t>nmaların yarattığı olumsuz</w:t>
      </w:r>
      <w:r w:rsidR="004A52FF" w:rsidRPr="00947306">
        <w:rPr>
          <w:rFonts w:ascii="Arial" w:hAnsi="Arial" w:cs="Arial"/>
          <w:sz w:val="24"/>
          <w:szCs w:val="24"/>
        </w:rPr>
        <w:t xml:space="preserve"> durum</w:t>
      </w:r>
      <w:r w:rsidRPr="00585E68">
        <w:rPr>
          <w:rFonts w:ascii="Arial" w:hAnsi="Arial" w:cs="Arial"/>
          <w:sz w:val="24"/>
          <w:szCs w:val="24"/>
        </w:rPr>
        <w:t xml:space="preserve"> enflasyon görünümünü ve bek</w:t>
      </w:r>
      <w:r w:rsidR="004A52FF" w:rsidRPr="00585E68">
        <w:rPr>
          <w:rFonts w:ascii="Arial" w:hAnsi="Arial" w:cs="Arial"/>
          <w:sz w:val="24"/>
          <w:szCs w:val="24"/>
        </w:rPr>
        <w:t>lentileri</w:t>
      </w:r>
      <w:r w:rsidR="004A52FF" w:rsidRPr="00947306">
        <w:rPr>
          <w:rFonts w:ascii="Arial" w:hAnsi="Arial" w:cs="Arial"/>
          <w:sz w:val="24"/>
          <w:szCs w:val="24"/>
        </w:rPr>
        <w:t>ni</w:t>
      </w:r>
      <w:r w:rsidR="004A52FF" w:rsidRPr="00585E68">
        <w:rPr>
          <w:rFonts w:ascii="Arial" w:hAnsi="Arial" w:cs="Arial"/>
          <w:sz w:val="24"/>
          <w:szCs w:val="24"/>
        </w:rPr>
        <w:t xml:space="preserve"> orta vadeli hedef</w:t>
      </w:r>
      <w:r w:rsidR="004A52FF" w:rsidRPr="00947306">
        <w:rPr>
          <w:rFonts w:ascii="Arial" w:hAnsi="Arial" w:cs="Arial"/>
          <w:sz w:val="24"/>
          <w:szCs w:val="24"/>
        </w:rPr>
        <w:t>ten</w:t>
      </w:r>
      <w:r w:rsidRPr="00585E68">
        <w:rPr>
          <w:rFonts w:ascii="Arial" w:hAnsi="Arial" w:cs="Arial"/>
          <w:sz w:val="24"/>
          <w:szCs w:val="24"/>
        </w:rPr>
        <w:t xml:space="preserve"> </w:t>
      </w:r>
      <w:r w:rsidR="004A52FF" w:rsidRPr="00947306">
        <w:rPr>
          <w:rFonts w:ascii="Arial" w:hAnsi="Arial" w:cs="Arial"/>
          <w:sz w:val="24"/>
          <w:szCs w:val="24"/>
        </w:rPr>
        <w:t xml:space="preserve">uzaklaştırmıştır. </w:t>
      </w:r>
      <w:r w:rsidRPr="00585E68">
        <w:rPr>
          <w:rFonts w:ascii="Arial" w:hAnsi="Arial" w:cs="Arial"/>
          <w:sz w:val="24"/>
          <w:szCs w:val="24"/>
        </w:rPr>
        <w:t>Bu nedenle</w:t>
      </w:r>
      <w:r w:rsidR="00EC3054" w:rsidRPr="00947306">
        <w:rPr>
          <w:rFonts w:ascii="Arial" w:hAnsi="Arial" w:cs="Arial"/>
          <w:sz w:val="24"/>
          <w:szCs w:val="24"/>
        </w:rPr>
        <w:t>,</w:t>
      </w:r>
      <w:r w:rsidRPr="00585E68">
        <w:rPr>
          <w:rFonts w:ascii="Arial" w:hAnsi="Arial" w:cs="Arial"/>
          <w:sz w:val="24"/>
          <w:szCs w:val="24"/>
        </w:rPr>
        <w:t xml:space="preserve"> Banka </w:t>
      </w:r>
      <w:r w:rsidR="008435D4" w:rsidRPr="00947306">
        <w:rPr>
          <w:rFonts w:ascii="Arial" w:hAnsi="Arial" w:cs="Arial"/>
          <w:sz w:val="24"/>
          <w:szCs w:val="24"/>
        </w:rPr>
        <w:t xml:space="preserve">2014 yılı Ocak ayında </w:t>
      </w:r>
      <w:r w:rsidRPr="00585E68">
        <w:rPr>
          <w:rFonts w:ascii="Arial" w:hAnsi="Arial" w:cs="Arial"/>
          <w:sz w:val="24"/>
          <w:szCs w:val="24"/>
        </w:rPr>
        <w:t xml:space="preserve">politika </w:t>
      </w:r>
      <w:r w:rsidR="008435D4" w:rsidRPr="00585E68">
        <w:rPr>
          <w:rFonts w:ascii="Arial" w:hAnsi="Arial" w:cs="Arial"/>
          <w:sz w:val="24"/>
          <w:szCs w:val="24"/>
        </w:rPr>
        <w:t>faizi</w:t>
      </w:r>
      <w:r w:rsidR="00C611B2" w:rsidRPr="00947306">
        <w:rPr>
          <w:rFonts w:ascii="Arial" w:hAnsi="Arial" w:cs="Arial"/>
          <w:sz w:val="24"/>
          <w:szCs w:val="24"/>
        </w:rPr>
        <w:t xml:space="preserve"> olarak kullanılan 1 hafta vadeli repo faizini</w:t>
      </w:r>
      <w:r w:rsidR="008435D4" w:rsidRPr="00947306">
        <w:rPr>
          <w:rFonts w:ascii="Arial" w:hAnsi="Arial" w:cs="Arial"/>
          <w:sz w:val="24"/>
          <w:szCs w:val="24"/>
        </w:rPr>
        <w:t xml:space="preserve"> </w:t>
      </w:r>
      <w:r w:rsidRPr="00585E68">
        <w:rPr>
          <w:rFonts w:ascii="Arial" w:hAnsi="Arial" w:cs="Arial"/>
          <w:sz w:val="24"/>
          <w:szCs w:val="24"/>
        </w:rPr>
        <w:t>önden yüklemeli</w:t>
      </w:r>
      <w:r w:rsidR="008435D4" w:rsidRPr="00947306">
        <w:rPr>
          <w:rFonts w:ascii="Arial" w:hAnsi="Arial" w:cs="Arial"/>
          <w:sz w:val="24"/>
          <w:szCs w:val="24"/>
        </w:rPr>
        <w:t xml:space="preserve"> bir </w:t>
      </w:r>
      <w:r w:rsidR="008435D4" w:rsidRPr="00585E68">
        <w:rPr>
          <w:rFonts w:ascii="Arial" w:hAnsi="Arial" w:cs="Arial"/>
          <w:sz w:val="24"/>
          <w:szCs w:val="24"/>
        </w:rPr>
        <w:t xml:space="preserve">şekilde </w:t>
      </w:r>
      <w:r w:rsidR="008435D4" w:rsidRPr="00947306">
        <w:rPr>
          <w:rFonts w:ascii="Arial" w:hAnsi="Arial" w:cs="Arial"/>
          <w:sz w:val="24"/>
          <w:szCs w:val="24"/>
        </w:rPr>
        <w:t>550 baz puan artırarak</w:t>
      </w:r>
      <w:r w:rsidR="008435D4" w:rsidRPr="00585E68">
        <w:rPr>
          <w:rFonts w:ascii="Arial" w:hAnsi="Arial" w:cs="Arial"/>
          <w:sz w:val="24"/>
          <w:szCs w:val="24"/>
          <w:lang w:val="tr-TR"/>
        </w:rPr>
        <w:t xml:space="preserve"> yüzde 10 seviyesine yükseltmiştir</w:t>
      </w:r>
      <w:r w:rsidRPr="00585E68">
        <w:rPr>
          <w:rFonts w:ascii="Arial" w:hAnsi="Arial" w:cs="Arial"/>
          <w:sz w:val="24"/>
          <w:szCs w:val="24"/>
        </w:rPr>
        <w:t>. 2014 yılı</w:t>
      </w:r>
      <w:r w:rsidR="004A52FF" w:rsidRPr="00585E68">
        <w:rPr>
          <w:rFonts w:ascii="Arial" w:hAnsi="Arial" w:cs="Arial"/>
          <w:sz w:val="24"/>
          <w:szCs w:val="24"/>
        </w:rPr>
        <w:t xml:space="preserve"> Mayıs ayından itibaren </w:t>
      </w:r>
      <w:r w:rsidR="00954A03" w:rsidRPr="00585E68">
        <w:rPr>
          <w:rFonts w:ascii="Arial" w:hAnsi="Arial" w:cs="Arial"/>
          <w:sz w:val="24"/>
          <w:szCs w:val="24"/>
          <w:lang w:val="tr-TR"/>
        </w:rPr>
        <w:t>yurt içi</w:t>
      </w:r>
      <w:r w:rsidR="008435D4" w:rsidRPr="00585E68">
        <w:rPr>
          <w:rFonts w:ascii="Arial" w:hAnsi="Arial" w:cs="Arial"/>
          <w:sz w:val="24"/>
          <w:szCs w:val="24"/>
          <w:lang w:val="tr-TR"/>
        </w:rPr>
        <w:t xml:space="preserve"> mali piyasalardaki iyileşmelerin sonrasında </w:t>
      </w:r>
      <w:r w:rsidR="004A52FF" w:rsidRPr="00585E68">
        <w:rPr>
          <w:rFonts w:ascii="Arial" w:hAnsi="Arial" w:cs="Arial"/>
          <w:sz w:val="24"/>
          <w:szCs w:val="24"/>
          <w:lang w:val="tr-TR"/>
        </w:rPr>
        <w:t>Banka,</w:t>
      </w:r>
      <w:r w:rsidRPr="00585E68">
        <w:rPr>
          <w:rFonts w:ascii="Arial" w:hAnsi="Arial" w:cs="Arial"/>
          <w:sz w:val="24"/>
          <w:szCs w:val="24"/>
        </w:rPr>
        <w:t xml:space="preserve"> enflasyonist risklere karşı sıkı duruş</w:t>
      </w:r>
      <w:r w:rsidR="008435D4" w:rsidRPr="00585E68">
        <w:rPr>
          <w:rFonts w:ascii="Arial" w:hAnsi="Arial" w:cs="Arial"/>
          <w:sz w:val="24"/>
          <w:szCs w:val="24"/>
        </w:rPr>
        <w:t xml:space="preserve">unu bozmayacak </w:t>
      </w:r>
      <w:r w:rsidR="008435D4" w:rsidRPr="00585E68">
        <w:rPr>
          <w:rFonts w:ascii="Arial" w:hAnsi="Arial" w:cs="Arial"/>
          <w:sz w:val="24"/>
          <w:szCs w:val="24"/>
          <w:lang w:val="tr-TR"/>
        </w:rPr>
        <w:t>şekil</w:t>
      </w:r>
      <w:r w:rsidRPr="00585E68">
        <w:rPr>
          <w:rFonts w:ascii="Arial" w:hAnsi="Arial" w:cs="Arial"/>
          <w:sz w:val="24"/>
          <w:szCs w:val="24"/>
        </w:rPr>
        <w:t>de ölçülü faiz indirimleri gerçekleştirmiştir.</w:t>
      </w:r>
    </w:p>
    <w:p w:rsidR="00C66BA6" w:rsidRPr="00FF7774" w:rsidRDefault="00C611B2"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lang w:val="tr-TR"/>
        </w:rPr>
        <w:t>T</w:t>
      </w:r>
      <w:r w:rsidR="00C66BA6" w:rsidRPr="00FF7774">
        <w:rPr>
          <w:rFonts w:ascii="Arial" w:hAnsi="Arial" w:cs="Arial"/>
          <w:sz w:val="24"/>
          <w:szCs w:val="24"/>
          <w:lang w:val="tr-TR"/>
        </w:rPr>
        <w:t xml:space="preserve">üketim harcamalarının ve </w:t>
      </w:r>
      <w:r w:rsidR="00954A03" w:rsidRPr="00FF7774">
        <w:rPr>
          <w:rFonts w:ascii="Arial" w:hAnsi="Arial" w:cs="Arial"/>
          <w:sz w:val="24"/>
          <w:szCs w:val="24"/>
          <w:lang w:val="tr-TR"/>
        </w:rPr>
        <w:t>yurt içi</w:t>
      </w:r>
      <w:r w:rsidR="00C66BA6" w:rsidRPr="00FF7774">
        <w:rPr>
          <w:rFonts w:ascii="Arial" w:hAnsi="Arial" w:cs="Arial"/>
          <w:sz w:val="24"/>
          <w:szCs w:val="24"/>
          <w:lang w:val="tr-TR"/>
        </w:rPr>
        <w:t xml:space="preserve"> talebin </w:t>
      </w:r>
      <w:r w:rsidR="00B278BF" w:rsidRPr="00FF7774">
        <w:rPr>
          <w:rFonts w:ascii="Arial" w:hAnsi="Arial" w:cs="Arial"/>
          <w:sz w:val="24"/>
          <w:szCs w:val="24"/>
          <w:lang w:val="tr-TR"/>
        </w:rPr>
        <w:t>sınırlanm</w:t>
      </w:r>
      <w:r w:rsidR="00C66BA6" w:rsidRPr="00D86959">
        <w:rPr>
          <w:rFonts w:ascii="Arial" w:hAnsi="Arial" w:cs="Arial"/>
          <w:sz w:val="24"/>
          <w:szCs w:val="24"/>
          <w:lang w:val="tr-TR"/>
        </w:rPr>
        <w:t>ası ve böylece c</w:t>
      </w:r>
      <w:r w:rsidR="00C66BA6" w:rsidRPr="00D86959">
        <w:rPr>
          <w:rFonts w:ascii="Arial" w:hAnsi="Arial" w:cs="Arial"/>
          <w:sz w:val="24"/>
          <w:szCs w:val="24"/>
        </w:rPr>
        <w:t xml:space="preserve">ari açığın düşürülmesi amacıyla alınan makro ihtiyati tedbirlerin etkisiyle 2013 yılında yüzde 27,7 </w:t>
      </w:r>
      <w:r w:rsidR="00C66BA6" w:rsidRPr="00D86959">
        <w:rPr>
          <w:rFonts w:ascii="Arial" w:hAnsi="Arial" w:cs="Arial"/>
          <w:sz w:val="24"/>
          <w:szCs w:val="24"/>
        </w:rPr>
        <w:lastRenderedPageBreak/>
        <w:t>olarak gerçekleşen kur etkisinden arındırılmış tüketici kredileri artış hızı</w:t>
      </w:r>
      <w:r w:rsidR="00FC352F" w:rsidRPr="00032574">
        <w:rPr>
          <w:rFonts w:ascii="Arial" w:hAnsi="Arial" w:cs="Arial"/>
          <w:sz w:val="24"/>
          <w:szCs w:val="24"/>
          <w:lang w:val="tr-TR"/>
        </w:rPr>
        <w:t>,</w:t>
      </w:r>
      <w:r w:rsidR="00C66BA6" w:rsidRPr="00032574">
        <w:rPr>
          <w:rFonts w:ascii="Arial" w:hAnsi="Arial" w:cs="Arial"/>
          <w:sz w:val="24"/>
          <w:szCs w:val="24"/>
        </w:rPr>
        <w:t xml:space="preserve"> 1</w:t>
      </w:r>
      <w:r w:rsidR="00C66BA6" w:rsidRPr="0010769B">
        <w:rPr>
          <w:rFonts w:ascii="Arial" w:hAnsi="Arial" w:cs="Arial"/>
          <w:sz w:val="24"/>
          <w:szCs w:val="24"/>
        </w:rPr>
        <w:t xml:space="preserve">9 Eylül 2014 tarihi itibarıyla yüzde 14,3 oranına gerilemiştir. </w:t>
      </w:r>
      <w:r w:rsidR="009569E2" w:rsidRPr="0010769B">
        <w:rPr>
          <w:rFonts w:ascii="Arial" w:hAnsi="Arial" w:cs="Arial"/>
          <w:sz w:val="24"/>
          <w:szCs w:val="24"/>
          <w:lang w:val="tr-TR"/>
        </w:rPr>
        <w:t>M</w:t>
      </w:r>
      <w:proofErr w:type="spellStart"/>
      <w:r w:rsidR="00C66BA6" w:rsidRPr="0010769B">
        <w:rPr>
          <w:rFonts w:ascii="Arial" w:hAnsi="Arial" w:cs="Arial"/>
          <w:sz w:val="24"/>
          <w:szCs w:val="24"/>
        </w:rPr>
        <w:t>akro</w:t>
      </w:r>
      <w:proofErr w:type="spellEnd"/>
      <w:r w:rsidR="00C66BA6" w:rsidRPr="0010769B">
        <w:rPr>
          <w:rFonts w:ascii="Arial" w:hAnsi="Arial" w:cs="Arial"/>
          <w:sz w:val="24"/>
          <w:szCs w:val="24"/>
        </w:rPr>
        <w:t xml:space="preserve"> ihtiyati tedbirlerin tüketici kredileri odaklı olması </w:t>
      </w:r>
      <w:r w:rsidR="00B278BF" w:rsidRPr="0010769B">
        <w:rPr>
          <w:rFonts w:ascii="Arial" w:hAnsi="Arial" w:cs="Arial"/>
          <w:sz w:val="24"/>
          <w:szCs w:val="24"/>
          <w:lang w:val="tr-TR"/>
        </w:rPr>
        <w:t xml:space="preserve">nedeniyle </w:t>
      </w:r>
      <w:r w:rsidR="00482C21" w:rsidRPr="0010769B">
        <w:rPr>
          <w:rFonts w:ascii="Arial" w:hAnsi="Arial" w:cs="Arial"/>
          <w:sz w:val="24"/>
          <w:szCs w:val="24"/>
          <w:lang w:val="tr-TR"/>
        </w:rPr>
        <w:t xml:space="preserve">kurumsal </w:t>
      </w:r>
      <w:r w:rsidR="006434A1" w:rsidRPr="0010769B">
        <w:rPr>
          <w:rFonts w:ascii="Arial" w:hAnsi="Arial" w:cs="Arial"/>
          <w:sz w:val="24"/>
          <w:szCs w:val="24"/>
          <w:lang w:val="tr-TR"/>
        </w:rPr>
        <w:t>krediler</w:t>
      </w:r>
      <w:r w:rsidR="006434A1">
        <w:rPr>
          <w:rFonts w:ascii="Arial" w:hAnsi="Arial" w:cs="Arial"/>
          <w:sz w:val="24"/>
          <w:szCs w:val="24"/>
          <w:lang w:val="tr-TR"/>
        </w:rPr>
        <w:t>in artış hızındaki</w:t>
      </w:r>
      <w:r w:rsidR="006434A1" w:rsidRPr="00032574">
        <w:rPr>
          <w:rFonts w:ascii="Arial" w:hAnsi="Arial" w:cs="Arial"/>
          <w:sz w:val="24"/>
          <w:szCs w:val="24"/>
          <w:lang w:val="tr-TR"/>
        </w:rPr>
        <w:t xml:space="preserve"> </w:t>
      </w:r>
      <w:r w:rsidR="00C66BA6" w:rsidRPr="00032574">
        <w:rPr>
          <w:rFonts w:ascii="Arial" w:hAnsi="Arial" w:cs="Arial"/>
          <w:sz w:val="24"/>
          <w:szCs w:val="24"/>
          <w:lang w:val="tr-TR"/>
        </w:rPr>
        <w:t xml:space="preserve">azalma eğilimi </w:t>
      </w:r>
      <w:r w:rsidR="006434A1">
        <w:rPr>
          <w:rFonts w:ascii="Arial" w:hAnsi="Arial" w:cs="Arial"/>
          <w:sz w:val="24"/>
          <w:szCs w:val="24"/>
          <w:lang w:val="tr-TR"/>
        </w:rPr>
        <w:t xml:space="preserve">öngörüldüğü şekilde </w:t>
      </w:r>
      <w:r w:rsidR="00C66BA6" w:rsidRPr="00032574">
        <w:rPr>
          <w:rFonts w:ascii="Arial" w:hAnsi="Arial" w:cs="Arial"/>
          <w:sz w:val="24"/>
          <w:szCs w:val="24"/>
          <w:lang w:val="tr-TR"/>
        </w:rPr>
        <w:t xml:space="preserve">sınırlı kalmıştır. </w:t>
      </w:r>
      <w:r w:rsidR="00C66BA6" w:rsidRPr="00032574">
        <w:rPr>
          <w:rFonts w:ascii="Arial" w:hAnsi="Arial" w:cs="Arial"/>
          <w:sz w:val="24"/>
          <w:szCs w:val="24"/>
        </w:rPr>
        <w:t>2013 yılı sonunda yüzde 30,3 olarak gerçekleşen kur etkisinden arı</w:t>
      </w:r>
      <w:r w:rsidR="00C66BA6" w:rsidRPr="0010769B">
        <w:rPr>
          <w:rFonts w:ascii="Arial" w:hAnsi="Arial" w:cs="Arial"/>
          <w:sz w:val="24"/>
          <w:szCs w:val="24"/>
        </w:rPr>
        <w:t>ndırılmış kurumsal kredi artış hızı</w:t>
      </w:r>
      <w:r w:rsidR="00FC352F" w:rsidRPr="0010769B">
        <w:rPr>
          <w:rFonts w:ascii="Arial" w:hAnsi="Arial" w:cs="Arial"/>
          <w:sz w:val="24"/>
          <w:szCs w:val="24"/>
          <w:lang w:val="tr-TR"/>
        </w:rPr>
        <w:t>,</w:t>
      </w:r>
      <w:r w:rsidR="00C66BA6" w:rsidRPr="0010769B">
        <w:rPr>
          <w:rFonts w:ascii="Arial" w:hAnsi="Arial" w:cs="Arial"/>
          <w:sz w:val="24"/>
          <w:szCs w:val="24"/>
        </w:rPr>
        <w:t xml:space="preserve"> 19 Eylül 2014 tarihi itibarıyla yüzde 22 oranına gerilemiştir. </w:t>
      </w:r>
      <w:r w:rsidR="00B278BF" w:rsidRPr="0010769B">
        <w:rPr>
          <w:rFonts w:ascii="Arial" w:hAnsi="Arial" w:cs="Arial"/>
          <w:sz w:val="24"/>
          <w:szCs w:val="24"/>
          <w:lang w:val="tr-TR"/>
        </w:rPr>
        <w:t xml:space="preserve">2014 yılında cari işlemler </w:t>
      </w:r>
      <w:r w:rsidR="00B278BF" w:rsidRPr="0010769B">
        <w:rPr>
          <w:rFonts w:ascii="Arial" w:hAnsi="Arial" w:cs="Arial"/>
          <w:sz w:val="24"/>
          <w:szCs w:val="24"/>
        </w:rPr>
        <w:t xml:space="preserve">açığında kaydedilen aşağı yönlü seyirde </w:t>
      </w:r>
      <w:r w:rsidR="00DF11C4" w:rsidRPr="0010769B">
        <w:rPr>
          <w:rFonts w:ascii="Arial" w:hAnsi="Arial" w:cs="Arial"/>
          <w:sz w:val="24"/>
          <w:szCs w:val="24"/>
        </w:rPr>
        <w:t xml:space="preserve">bu gelişmeler </w:t>
      </w:r>
      <w:r w:rsidR="00B278BF" w:rsidRPr="0010769B">
        <w:rPr>
          <w:rFonts w:ascii="Arial" w:hAnsi="Arial" w:cs="Arial"/>
          <w:sz w:val="24"/>
          <w:szCs w:val="24"/>
        </w:rPr>
        <w:t>etkili olmuştur.</w:t>
      </w:r>
    </w:p>
    <w:p w:rsidR="00E665AE" w:rsidRPr="0010769B" w:rsidRDefault="00E665AE"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Gerek yurt içi gerekse yurt dışında ortaya çıkan ekonomik ve siyasi gelişmelerin de etkisiyle ekonomik büyüme performansı </w:t>
      </w:r>
      <w:r w:rsidR="007810DF" w:rsidRPr="0010769B">
        <w:rPr>
          <w:rFonts w:ascii="Arial" w:hAnsi="Arial" w:cs="Arial"/>
          <w:sz w:val="24"/>
          <w:szCs w:val="24"/>
        </w:rPr>
        <w:t>son birkaç yıldır düşük seyretmektedir</w:t>
      </w:r>
      <w:r w:rsidRPr="0010769B">
        <w:rPr>
          <w:rFonts w:ascii="Arial" w:hAnsi="Arial" w:cs="Arial"/>
          <w:sz w:val="24"/>
          <w:szCs w:val="24"/>
        </w:rPr>
        <w:t xml:space="preserve">. </w:t>
      </w:r>
      <w:r w:rsidR="00EF58F0">
        <w:rPr>
          <w:rFonts w:ascii="Arial" w:hAnsi="Arial" w:cs="Arial"/>
          <w:sz w:val="24"/>
          <w:szCs w:val="24"/>
          <w:lang w:val="tr-TR"/>
        </w:rPr>
        <w:t>Döviz k</w:t>
      </w:r>
      <w:r w:rsidR="007810DF" w:rsidRPr="0010769B">
        <w:rPr>
          <w:rFonts w:ascii="Arial" w:hAnsi="Arial" w:cs="Arial"/>
          <w:sz w:val="24"/>
          <w:szCs w:val="24"/>
        </w:rPr>
        <w:t>ur</w:t>
      </w:r>
      <w:r w:rsidR="00EF58F0">
        <w:rPr>
          <w:rFonts w:ascii="Arial" w:hAnsi="Arial" w:cs="Arial"/>
          <w:sz w:val="24"/>
          <w:szCs w:val="24"/>
          <w:lang w:val="tr-TR"/>
        </w:rPr>
        <w:t>u</w:t>
      </w:r>
      <w:r w:rsidR="007810DF" w:rsidRPr="0010769B">
        <w:rPr>
          <w:rFonts w:ascii="Arial" w:hAnsi="Arial" w:cs="Arial"/>
          <w:sz w:val="24"/>
          <w:szCs w:val="24"/>
        </w:rPr>
        <w:t xml:space="preserve">, petrol fiyatları, işlenmemiş gıda fiyatları ve bazı mallardaki vergi düzenlemeleri gibi nedenlerle </w:t>
      </w:r>
      <w:r w:rsidR="00EF58F0" w:rsidRPr="00D9640D">
        <w:rPr>
          <w:rFonts w:ascii="Arial" w:hAnsi="Arial" w:cs="Arial"/>
          <w:sz w:val="24"/>
          <w:szCs w:val="24"/>
        </w:rPr>
        <w:t xml:space="preserve">enflasyon </w:t>
      </w:r>
      <w:r w:rsidRPr="0010769B">
        <w:rPr>
          <w:rFonts w:ascii="Arial" w:hAnsi="Arial" w:cs="Arial"/>
          <w:sz w:val="24"/>
          <w:szCs w:val="24"/>
        </w:rPr>
        <w:t>artış eğilimi</w:t>
      </w:r>
      <w:r w:rsidR="007810DF" w:rsidRPr="0010769B">
        <w:rPr>
          <w:rFonts w:ascii="Arial" w:hAnsi="Arial" w:cs="Arial"/>
          <w:sz w:val="24"/>
          <w:szCs w:val="24"/>
        </w:rPr>
        <w:t xml:space="preserve">ne girmiştir. </w:t>
      </w:r>
      <w:r w:rsidRPr="0010769B">
        <w:rPr>
          <w:rFonts w:ascii="Arial" w:hAnsi="Arial" w:cs="Arial"/>
          <w:sz w:val="24"/>
          <w:szCs w:val="24"/>
        </w:rPr>
        <w:t>Büyüme ve enflasyonda yaşanan gelişmeler</w:t>
      </w:r>
      <w:r w:rsidR="00EF58F0">
        <w:rPr>
          <w:rFonts w:ascii="Arial" w:hAnsi="Arial" w:cs="Arial"/>
          <w:sz w:val="24"/>
          <w:szCs w:val="24"/>
          <w:lang w:val="tr-TR"/>
        </w:rPr>
        <w:t>,</w:t>
      </w:r>
      <w:r w:rsidR="00524BA3" w:rsidRPr="0010769B">
        <w:rPr>
          <w:rFonts w:ascii="Arial" w:hAnsi="Arial" w:cs="Arial"/>
          <w:sz w:val="24"/>
          <w:szCs w:val="24"/>
        </w:rPr>
        <w:t xml:space="preserve"> </w:t>
      </w:r>
      <w:r w:rsidRPr="0010769B">
        <w:rPr>
          <w:rFonts w:ascii="Arial" w:hAnsi="Arial" w:cs="Arial"/>
          <w:sz w:val="24"/>
          <w:szCs w:val="24"/>
        </w:rPr>
        <w:t>para, maliye ve gelirler politikasının eşgüdüm içerisinde yürütülmesi</w:t>
      </w:r>
      <w:r w:rsidR="00524BA3" w:rsidRPr="0010769B">
        <w:rPr>
          <w:rFonts w:ascii="Arial" w:hAnsi="Arial" w:cs="Arial"/>
          <w:sz w:val="24"/>
          <w:szCs w:val="24"/>
        </w:rPr>
        <w:t xml:space="preserve">ne ve bunların yapısal reformlarla desteklenmesine olan </w:t>
      </w:r>
      <w:r w:rsidR="00EF58F0" w:rsidRPr="0010769B">
        <w:rPr>
          <w:rFonts w:ascii="Arial" w:hAnsi="Arial" w:cs="Arial"/>
          <w:sz w:val="24"/>
          <w:szCs w:val="24"/>
        </w:rPr>
        <w:t>ihtiya</w:t>
      </w:r>
      <w:r w:rsidR="00EF58F0">
        <w:rPr>
          <w:rFonts w:ascii="Arial" w:hAnsi="Arial" w:cs="Arial"/>
          <w:sz w:val="24"/>
          <w:szCs w:val="24"/>
          <w:lang w:val="tr-TR"/>
        </w:rPr>
        <w:t>cı</w:t>
      </w:r>
      <w:r w:rsidR="00EF58F0" w:rsidRPr="0010769B">
        <w:rPr>
          <w:rFonts w:ascii="Arial" w:hAnsi="Arial" w:cs="Arial"/>
          <w:sz w:val="24"/>
          <w:szCs w:val="24"/>
        </w:rPr>
        <w:t xml:space="preserve"> </w:t>
      </w:r>
      <w:r w:rsidRPr="0010769B">
        <w:rPr>
          <w:rFonts w:ascii="Arial" w:hAnsi="Arial" w:cs="Arial"/>
          <w:sz w:val="24"/>
          <w:szCs w:val="24"/>
        </w:rPr>
        <w:t>daha da art</w:t>
      </w:r>
      <w:r w:rsidR="00EF58F0">
        <w:rPr>
          <w:rFonts w:ascii="Arial" w:hAnsi="Arial" w:cs="Arial"/>
          <w:sz w:val="24"/>
          <w:szCs w:val="24"/>
          <w:lang w:val="tr-TR"/>
        </w:rPr>
        <w:t>ır</w:t>
      </w:r>
      <w:proofErr w:type="spellStart"/>
      <w:r w:rsidRPr="0010769B">
        <w:rPr>
          <w:rFonts w:ascii="Arial" w:hAnsi="Arial" w:cs="Arial"/>
          <w:sz w:val="24"/>
          <w:szCs w:val="24"/>
        </w:rPr>
        <w:t>mıştır</w:t>
      </w:r>
      <w:proofErr w:type="spellEnd"/>
      <w:r w:rsidRPr="0010769B">
        <w:rPr>
          <w:rFonts w:ascii="Arial" w:hAnsi="Arial" w:cs="Arial"/>
          <w:sz w:val="24"/>
          <w:szCs w:val="24"/>
        </w:rPr>
        <w:t>.</w:t>
      </w:r>
    </w:p>
    <w:p w:rsidR="00FA62B9" w:rsidRPr="00585E68" w:rsidRDefault="00FA62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 xml:space="preserve">Genel devlet faiz dışı harcamaları ve genel devlet gelirlerindeki artış eğilimi 2013 yılında da devam etmiştir. Bununla birlikte, genel devlet gelir performansının harcamalardaki artışı da telafi edecek düzeyde olmasıyla, </w:t>
      </w:r>
      <w:proofErr w:type="spellStart"/>
      <w:r w:rsidRPr="00585E68">
        <w:rPr>
          <w:rFonts w:ascii="Arial" w:hAnsi="Arial" w:cs="Arial"/>
          <w:sz w:val="24"/>
          <w:szCs w:val="24"/>
        </w:rPr>
        <w:t>GSYH’ya</w:t>
      </w:r>
      <w:proofErr w:type="spellEnd"/>
      <w:r w:rsidRPr="00585E68">
        <w:rPr>
          <w:rFonts w:ascii="Arial" w:hAnsi="Arial" w:cs="Arial"/>
          <w:sz w:val="24"/>
          <w:szCs w:val="24"/>
        </w:rPr>
        <w:t xml:space="preserve"> oran olarak yüzde 2 düzeyinde öngörülen genel devlet faiz dışı fazlası yüzde 2,</w:t>
      </w:r>
      <w:r w:rsidR="00EF58F0">
        <w:rPr>
          <w:rFonts w:ascii="Arial" w:hAnsi="Arial" w:cs="Arial"/>
          <w:sz w:val="24"/>
          <w:szCs w:val="24"/>
          <w:lang w:val="tr-TR"/>
        </w:rPr>
        <w:t>6</w:t>
      </w:r>
      <w:r w:rsidR="00EF58F0" w:rsidRPr="00585E68">
        <w:rPr>
          <w:rFonts w:ascii="Arial" w:hAnsi="Arial" w:cs="Arial"/>
          <w:sz w:val="24"/>
          <w:szCs w:val="24"/>
        </w:rPr>
        <w:t xml:space="preserve"> </w:t>
      </w:r>
      <w:r w:rsidRPr="00585E68">
        <w:rPr>
          <w:rFonts w:ascii="Arial" w:hAnsi="Arial" w:cs="Arial"/>
          <w:sz w:val="24"/>
          <w:szCs w:val="24"/>
        </w:rPr>
        <w:t xml:space="preserve">düzeyinde gerçekleşmiştir. </w:t>
      </w:r>
    </w:p>
    <w:p w:rsidR="00FA62B9" w:rsidRPr="00585E68" w:rsidRDefault="00FA62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 xml:space="preserve">2013 yılında özellikle dolaylı vergilerde, sosyal güvenlik primlerinde ve özelleştirme gelirlerinde sağlanan artış, genel devlet gelirlerinin </w:t>
      </w:r>
      <w:proofErr w:type="spellStart"/>
      <w:r w:rsidRPr="00585E68">
        <w:rPr>
          <w:rFonts w:ascii="Arial" w:hAnsi="Arial" w:cs="Arial"/>
          <w:sz w:val="24"/>
          <w:szCs w:val="24"/>
        </w:rPr>
        <w:t>GSYH’ya</w:t>
      </w:r>
      <w:proofErr w:type="spellEnd"/>
      <w:r w:rsidRPr="00585E68">
        <w:rPr>
          <w:rFonts w:ascii="Arial" w:hAnsi="Arial" w:cs="Arial"/>
          <w:sz w:val="24"/>
          <w:szCs w:val="24"/>
        </w:rPr>
        <w:t xml:space="preserve"> oranla önceki yıla göre 2,1 puan art</w:t>
      </w:r>
      <w:r w:rsidR="00A97ABF" w:rsidRPr="00585E68">
        <w:rPr>
          <w:rFonts w:ascii="Arial" w:hAnsi="Arial" w:cs="Arial"/>
          <w:sz w:val="24"/>
          <w:szCs w:val="24"/>
          <w:lang w:val="tr-TR"/>
        </w:rPr>
        <w:t xml:space="preserve">arak yüzde </w:t>
      </w:r>
      <w:r w:rsidR="00577904">
        <w:rPr>
          <w:rFonts w:ascii="Arial" w:hAnsi="Arial" w:cs="Arial"/>
          <w:sz w:val="24"/>
          <w:szCs w:val="24"/>
          <w:lang w:val="tr-TR"/>
        </w:rPr>
        <w:t>40</w:t>
      </w:r>
      <w:r w:rsidR="00A97ABF" w:rsidRPr="00585E68">
        <w:rPr>
          <w:rFonts w:ascii="Arial" w:hAnsi="Arial" w:cs="Arial"/>
          <w:sz w:val="24"/>
          <w:szCs w:val="24"/>
          <w:lang w:val="tr-TR"/>
        </w:rPr>
        <w:t xml:space="preserve"> seviyesine çıkmasında</w:t>
      </w:r>
      <w:r w:rsidRPr="00585E68">
        <w:rPr>
          <w:rFonts w:ascii="Arial" w:hAnsi="Arial" w:cs="Arial"/>
          <w:sz w:val="24"/>
          <w:szCs w:val="24"/>
        </w:rPr>
        <w:t xml:space="preserve"> temel belirleyici olmuştur. Genel devlet faiz dışı harcamaları ise </w:t>
      </w:r>
      <w:proofErr w:type="spellStart"/>
      <w:r w:rsidRPr="00585E68">
        <w:rPr>
          <w:rFonts w:ascii="Arial" w:hAnsi="Arial" w:cs="Arial"/>
          <w:sz w:val="24"/>
          <w:szCs w:val="24"/>
        </w:rPr>
        <w:t>GSYH’ya</w:t>
      </w:r>
      <w:proofErr w:type="spellEnd"/>
      <w:r w:rsidRPr="00585E68">
        <w:rPr>
          <w:rFonts w:ascii="Arial" w:hAnsi="Arial" w:cs="Arial"/>
          <w:sz w:val="24"/>
          <w:szCs w:val="24"/>
        </w:rPr>
        <w:t xml:space="preserve"> oranla cari giderlerdeki 0,5, yatırım harcamalarındaki 0,7 ve transferlerdeki 0,9 puanlık artışın etkisiyle önceki yıla göre 2,1 puan artarak yüzde 37,4 düzeyinde olmuştur.</w:t>
      </w:r>
    </w:p>
    <w:p w:rsidR="00FA62B9" w:rsidRPr="00585E68" w:rsidRDefault="00FA62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 xml:space="preserve">2014 yılında vergi performansının programda beklenen seviyeden düşük gerçekleşmesi, buna karşın vergi dışı gelirlerde ve faktör gelirlerinde sağlanan artışlar sonucunda genel devlet gelirlerinin önceki programda öngörülen düzeyin 0,6 puan üzerine çıkarak </w:t>
      </w:r>
      <w:proofErr w:type="spellStart"/>
      <w:r w:rsidRPr="00585E68">
        <w:rPr>
          <w:rFonts w:ascii="Arial" w:hAnsi="Arial" w:cs="Arial"/>
          <w:sz w:val="24"/>
          <w:szCs w:val="24"/>
        </w:rPr>
        <w:t>GSYH’ya</w:t>
      </w:r>
      <w:proofErr w:type="spellEnd"/>
      <w:r w:rsidRPr="00585E68">
        <w:rPr>
          <w:rFonts w:ascii="Arial" w:hAnsi="Arial" w:cs="Arial"/>
          <w:sz w:val="24"/>
          <w:szCs w:val="24"/>
        </w:rPr>
        <w:t xml:space="preserve"> oranla yüzde 39</w:t>
      </w:r>
      <w:r w:rsidR="00577904">
        <w:rPr>
          <w:rFonts w:ascii="Arial" w:hAnsi="Arial" w:cs="Arial"/>
          <w:sz w:val="24"/>
          <w:szCs w:val="24"/>
          <w:lang w:val="tr-TR"/>
        </w:rPr>
        <w:t>,1</w:t>
      </w:r>
      <w:r w:rsidRPr="00585E68">
        <w:rPr>
          <w:rFonts w:ascii="Arial" w:hAnsi="Arial" w:cs="Arial"/>
          <w:sz w:val="24"/>
          <w:szCs w:val="24"/>
        </w:rPr>
        <w:t xml:space="preserve"> olması beklenmektedir. Vergi dışı gelirlerdeki artışta kapatılan il özel idarelerine ait nak</w:t>
      </w:r>
      <w:r w:rsidR="00A97ABF" w:rsidRPr="00585E68">
        <w:rPr>
          <w:rFonts w:ascii="Arial" w:hAnsi="Arial" w:cs="Arial"/>
          <w:sz w:val="24"/>
          <w:szCs w:val="24"/>
          <w:lang w:val="tr-TR"/>
        </w:rPr>
        <w:t>din</w:t>
      </w:r>
      <w:r w:rsidRPr="00585E68">
        <w:rPr>
          <w:rFonts w:ascii="Arial" w:hAnsi="Arial" w:cs="Arial"/>
          <w:sz w:val="24"/>
          <w:szCs w:val="24"/>
        </w:rPr>
        <w:t xml:space="preserve"> bütçeye aktarılmasıyla elde edilen gelir ile KİT ve kamu bankaları gelirleri etkili olmuştur. Genel devlet faiz dışı harcamalarının ise özellikle yatırımlara sene içerisinde sağlanan ilave kaynakların etkisiyle yılsonunda programlanan düzeyin 0,5 puan üzerine çıkarak </w:t>
      </w:r>
      <w:proofErr w:type="spellStart"/>
      <w:r w:rsidRPr="00585E68">
        <w:rPr>
          <w:rFonts w:ascii="Arial" w:hAnsi="Arial" w:cs="Arial"/>
          <w:sz w:val="24"/>
          <w:szCs w:val="24"/>
        </w:rPr>
        <w:t>GSYH’ya</w:t>
      </w:r>
      <w:proofErr w:type="spellEnd"/>
      <w:r w:rsidRPr="00585E68">
        <w:rPr>
          <w:rFonts w:ascii="Arial" w:hAnsi="Arial" w:cs="Arial"/>
          <w:sz w:val="24"/>
          <w:szCs w:val="24"/>
        </w:rPr>
        <w:t xml:space="preserve"> oranla yüzde 36,9 seviyesinde olması öngörülmektedir.</w:t>
      </w:r>
    </w:p>
    <w:p w:rsidR="00FA62B9" w:rsidRPr="00585E68" w:rsidRDefault="00FA62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 xml:space="preserve">Bu gelişmelere paralel olarak, </w:t>
      </w:r>
      <w:proofErr w:type="spellStart"/>
      <w:r w:rsidRPr="00585E68">
        <w:rPr>
          <w:rFonts w:ascii="Arial" w:hAnsi="Arial" w:cs="Arial"/>
          <w:sz w:val="24"/>
          <w:szCs w:val="24"/>
        </w:rPr>
        <w:t>GSYH’nın</w:t>
      </w:r>
      <w:proofErr w:type="spellEnd"/>
      <w:r w:rsidRPr="00585E68">
        <w:rPr>
          <w:rFonts w:ascii="Arial" w:hAnsi="Arial" w:cs="Arial"/>
          <w:sz w:val="24"/>
          <w:szCs w:val="24"/>
        </w:rPr>
        <w:t xml:space="preserve"> yüzde 1,1</w:t>
      </w:r>
      <w:r w:rsidR="00454CE1">
        <w:rPr>
          <w:rFonts w:ascii="Arial" w:hAnsi="Arial" w:cs="Arial"/>
          <w:sz w:val="24"/>
          <w:szCs w:val="24"/>
          <w:lang w:val="tr-TR"/>
        </w:rPr>
        <w:t>’i</w:t>
      </w:r>
      <w:r w:rsidRPr="00585E68">
        <w:rPr>
          <w:rFonts w:ascii="Arial" w:hAnsi="Arial" w:cs="Arial"/>
          <w:sz w:val="24"/>
          <w:szCs w:val="24"/>
        </w:rPr>
        <w:t xml:space="preserve"> </w:t>
      </w:r>
      <w:r w:rsidR="00454CE1">
        <w:rPr>
          <w:rFonts w:ascii="Arial" w:hAnsi="Arial" w:cs="Arial"/>
          <w:sz w:val="24"/>
          <w:szCs w:val="24"/>
          <w:lang w:val="tr-TR"/>
        </w:rPr>
        <w:t>olarak</w:t>
      </w:r>
      <w:r w:rsidR="00454CE1" w:rsidRPr="00585E68">
        <w:rPr>
          <w:rFonts w:ascii="Arial" w:hAnsi="Arial" w:cs="Arial"/>
          <w:sz w:val="24"/>
          <w:szCs w:val="24"/>
        </w:rPr>
        <w:t xml:space="preserve"> </w:t>
      </w:r>
      <w:r w:rsidRPr="00585E68">
        <w:rPr>
          <w:rFonts w:ascii="Arial" w:hAnsi="Arial" w:cs="Arial"/>
          <w:sz w:val="24"/>
          <w:szCs w:val="24"/>
        </w:rPr>
        <w:t xml:space="preserve">öngörülen 2014 yılı genel devlet açığının yılsonunda </w:t>
      </w:r>
      <w:r w:rsidR="00454CE1">
        <w:rPr>
          <w:rFonts w:ascii="Arial" w:hAnsi="Arial" w:cs="Arial"/>
          <w:sz w:val="24"/>
          <w:szCs w:val="24"/>
          <w:lang w:val="tr-TR"/>
        </w:rPr>
        <w:t xml:space="preserve">yüzde </w:t>
      </w:r>
      <w:r w:rsidRPr="00585E68">
        <w:rPr>
          <w:rFonts w:ascii="Arial" w:hAnsi="Arial" w:cs="Arial"/>
          <w:sz w:val="24"/>
          <w:szCs w:val="24"/>
        </w:rPr>
        <w:t xml:space="preserve">0,8 olarak gerçekleşmesi; yüzde 2 </w:t>
      </w:r>
      <w:r w:rsidR="005F7848">
        <w:rPr>
          <w:rFonts w:ascii="Arial" w:hAnsi="Arial" w:cs="Arial"/>
          <w:sz w:val="24"/>
          <w:szCs w:val="24"/>
          <w:lang w:val="tr-TR"/>
        </w:rPr>
        <w:t>olarak</w:t>
      </w:r>
      <w:r w:rsidR="005F7848" w:rsidRPr="00585E68">
        <w:rPr>
          <w:rFonts w:ascii="Arial" w:hAnsi="Arial" w:cs="Arial"/>
          <w:sz w:val="24"/>
          <w:szCs w:val="24"/>
        </w:rPr>
        <w:t xml:space="preserve"> </w:t>
      </w:r>
      <w:r w:rsidRPr="00585E68">
        <w:rPr>
          <w:rFonts w:ascii="Arial" w:hAnsi="Arial" w:cs="Arial"/>
          <w:sz w:val="24"/>
          <w:szCs w:val="24"/>
        </w:rPr>
        <w:t>öngörülen faiz dışı fazlanın ise sene sonunda yüzde 2,</w:t>
      </w:r>
      <w:r w:rsidR="00D002C8">
        <w:rPr>
          <w:rFonts w:ascii="Arial" w:hAnsi="Arial" w:cs="Arial"/>
          <w:sz w:val="24"/>
          <w:szCs w:val="24"/>
          <w:lang w:val="tr-TR"/>
        </w:rPr>
        <w:t>2</w:t>
      </w:r>
      <w:r w:rsidR="00D002C8" w:rsidRPr="00585E68">
        <w:rPr>
          <w:rFonts w:ascii="Arial" w:hAnsi="Arial" w:cs="Arial"/>
          <w:sz w:val="24"/>
          <w:szCs w:val="24"/>
        </w:rPr>
        <w:t xml:space="preserve"> </w:t>
      </w:r>
      <w:r w:rsidR="00D002C8">
        <w:rPr>
          <w:rFonts w:ascii="Arial" w:hAnsi="Arial" w:cs="Arial"/>
          <w:sz w:val="24"/>
          <w:szCs w:val="24"/>
          <w:lang w:val="tr-TR"/>
        </w:rPr>
        <w:t>olarak</w:t>
      </w:r>
      <w:r w:rsidR="00D002C8" w:rsidRPr="00585E68">
        <w:rPr>
          <w:rFonts w:ascii="Arial" w:hAnsi="Arial" w:cs="Arial"/>
          <w:sz w:val="24"/>
          <w:szCs w:val="24"/>
        </w:rPr>
        <w:t xml:space="preserve"> </w:t>
      </w:r>
      <w:r w:rsidRPr="00585E68">
        <w:rPr>
          <w:rFonts w:ascii="Arial" w:hAnsi="Arial" w:cs="Arial"/>
          <w:sz w:val="24"/>
          <w:szCs w:val="24"/>
        </w:rPr>
        <w:t xml:space="preserve">gerçekleşmesi beklenmektedir. </w:t>
      </w:r>
    </w:p>
    <w:p w:rsidR="00FA62B9" w:rsidRPr="00585E68" w:rsidRDefault="00FA62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 xml:space="preserve">2013 yılında </w:t>
      </w:r>
      <w:r w:rsidR="00EA751A" w:rsidRPr="00585E68">
        <w:rPr>
          <w:rFonts w:ascii="Arial" w:hAnsi="Arial" w:cs="Arial"/>
          <w:sz w:val="24"/>
          <w:szCs w:val="24"/>
          <w:lang w:val="tr-TR"/>
        </w:rPr>
        <w:t xml:space="preserve">yüzde </w:t>
      </w:r>
      <w:r w:rsidRPr="00585E68">
        <w:rPr>
          <w:rFonts w:ascii="Arial" w:hAnsi="Arial" w:cs="Arial"/>
          <w:sz w:val="24"/>
          <w:szCs w:val="24"/>
        </w:rPr>
        <w:t>1,7 olan faiz harcamaları ve özelleştirme gelirleri hariç genel devlet fazlasını</w:t>
      </w:r>
      <w:r w:rsidR="00EA751A" w:rsidRPr="00585E68">
        <w:rPr>
          <w:rFonts w:ascii="Arial" w:hAnsi="Arial" w:cs="Arial"/>
          <w:sz w:val="24"/>
          <w:szCs w:val="24"/>
          <w:lang w:val="tr-TR"/>
        </w:rPr>
        <w:t>n</w:t>
      </w:r>
      <w:r w:rsidRPr="00585E68">
        <w:rPr>
          <w:rFonts w:ascii="Arial" w:hAnsi="Arial" w:cs="Arial"/>
          <w:sz w:val="24"/>
          <w:szCs w:val="24"/>
        </w:rPr>
        <w:t xml:space="preserve"> </w:t>
      </w:r>
      <w:proofErr w:type="spellStart"/>
      <w:r w:rsidR="00EA751A" w:rsidRPr="00585E68">
        <w:rPr>
          <w:rFonts w:ascii="Arial" w:hAnsi="Arial" w:cs="Arial"/>
          <w:sz w:val="24"/>
          <w:szCs w:val="24"/>
        </w:rPr>
        <w:t>GSYH’ya</w:t>
      </w:r>
      <w:proofErr w:type="spellEnd"/>
      <w:r w:rsidR="00EA751A" w:rsidRPr="00585E68">
        <w:rPr>
          <w:rFonts w:ascii="Arial" w:hAnsi="Arial" w:cs="Arial"/>
          <w:sz w:val="24"/>
          <w:szCs w:val="24"/>
        </w:rPr>
        <w:t xml:space="preserve"> oranı</w:t>
      </w:r>
      <w:r w:rsidR="00EA751A" w:rsidRPr="00585E68">
        <w:rPr>
          <w:rFonts w:ascii="Arial" w:hAnsi="Arial" w:cs="Arial"/>
          <w:sz w:val="24"/>
          <w:szCs w:val="24"/>
          <w:lang w:val="tr-TR"/>
        </w:rPr>
        <w:t>nın</w:t>
      </w:r>
      <w:r w:rsidR="00EA751A" w:rsidRPr="00585E68">
        <w:rPr>
          <w:rFonts w:ascii="Arial" w:hAnsi="Arial" w:cs="Arial"/>
          <w:sz w:val="24"/>
          <w:szCs w:val="24"/>
        </w:rPr>
        <w:t xml:space="preserve"> </w:t>
      </w:r>
      <w:r w:rsidRPr="00585E68">
        <w:rPr>
          <w:rFonts w:ascii="Arial" w:hAnsi="Arial" w:cs="Arial"/>
          <w:sz w:val="24"/>
          <w:szCs w:val="24"/>
        </w:rPr>
        <w:t>2014 yılında yüzde 1,6’ya gerilemesi, 2014 yılı program tanımlı genel devlet faiz dışı fazlasının ise yüzde 0,</w:t>
      </w:r>
      <w:r w:rsidR="00EA751A" w:rsidRPr="00585E68">
        <w:rPr>
          <w:rFonts w:ascii="Arial" w:hAnsi="Arial" w:cs="Arial"/>
          <w:sz w:val="24"/>
          <w:szCs w:val="24"/>
          <w:lang w:val="tr-TR"/>
        </w:rPr>
        <w:t>6</w:t>
      </w:r>
      <w:r w:rsidRPr="00585E68">
        <w:rPr>
          <w:rFonts w:ascii="Arial" w:hAnsi="Arial" w:cs="Arial"/>
          <w:sz w:val="24"/>
          <w:szCs w:val="24"/>
        </w:rPr>
        <w:t xml:space="preserve"> olarak gerçekleşmesi </w:t>
      </w:r>
      <w:r w:rsidR="00905596">
        <w:rPr>
          <w:rFonts w:ascii="Arial" w:hAnsi="Arial" w:cs="Arial"/>
          <w:sz w:val="24"/>
          <w:szCs w:val="24"/>
          <w:lang w:val="tr-TR"/>
        </w:rPr>
        <w:t>öngörülmektedir</w:t>
      </w:r>
      <w:r w:rsidRPr="00585E68">
        <w:rPr>
          <w:rFonts w:ascii="Arial" w:hAnsi="Arial" w:cs="Arial"/>
          <w:sz w:val="24"/>
          <w:szCs w:val="24"/>
        </w:rPr>
        <w:t xml:space="preserve">. </w:t>
      </w:r>
    </w:p>
    <w:p w:rsidR="005F7848" w:rsidRDefault="005F7848"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proofErr w:type="spellStart"/>
      <w:r w:rsidRPr="00585E68">
        <w:rPr>
          <w:rFonts w:ascii="Arial" w:hAnsi="Arial" w:cs="Arial"/>
          <w:sz w:val="24"/>
          <w:szCs w:val="24"/>
        </w:rPr>
        <w:t>GSYH’ya</w:t>
      </w:r>
      <w:proofErr w:type="spellEnd"/>
      <w:r w:rsidRPr="00585E68">
        <w:rPr>
          <w:rFonts w:ascii="Arial" w:hAnsi="Arial" w:cs="Arial"/>
          <w:sz w:val="24"/>
          <w:szCs w:val="24"/>
        </w:rPr>
        <w:t xml:space="preserve"> oranla </w:t>
      </w:r>
      <w:r w:rsidR="00FA62B9" w:rsidRPr="00585E68">
        <w:rPr>
          <w:rFonts w:ascii="Arial" w:hAnsi="Arial" w:cs="Arial"/>
          <w:sz w:val="24"/>
          <w:szCs w:val="24"/>
        </w:rPr>
        <w:t>2013 yılında yüzde 0,5 olarak gerçekleşen kamu kesimi borçlanma gereğinin 2014 yılında yüzde 1’e yükselmesi;</w:t>
      </w:r>
      <w:r>
        <w:rPr>
          <w:rFonts w:ascii="Arial" w:hAnsi="Arial" w:cs="Arial"/>
          <w:sz w:val="24"/>
          <w:szCs w:val="24"/>
          <w:lang w:val="tr-TR"/>
        </w:rPr>
        <w:t xml:space="preserve"> program tanımlı kamu kesimi faiz dışı fazlasının ise aynı dönemde yüzde 1’den yüzde 0,4’e gerilemesi beklenmektedir.</w:t>
      </w:r>
    </w:p>
    <w:p w:rsidR="00FA62B9" w:rsidRPr="00585E68" w:rsidRDefault="00FA62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lastRenderedPageBreak/>
        <w:t xml:space="preserve"> </w:t>
      </w:r>
      <w:r w:rsidR="00E4323D">
        <w:rPr>
          <w:rFonts w:ascii="Arial" w:hAnsi="Arial" w:cs="Arial"/>
          <w:sz w:val="24"/>
          <w:szCs w:val="24"/>
          <w:lang w:val="tr-TR"/>
        </w:rPr>
        <w:t xml:space="preserve">2013 yılında </w:t>
      </w:r>
      <w:proofErr w:type="spellStart"/>
      <w:r w:rsidR="00E4323D">
        <w:rPr>
          <w:rFonts w:ascii="Arial" w:hAnsi="Arial" w:cs="Arial"/>
          <w:sz w:val="24"/>
          <w:szCs w:val="24"/>
          <w:lang w:val="tr-TR"/>
        </w:rPr>
        <w:t>GS</w:t>
      </w:r>
      <w:r w:rsidR="001F6755">
        <w:rPr>
          <w:rFonts w:ascii="Arial" w:hAnsi="Arial" w:cs="Arial"/>
          <w:sz w:val="24"/>
          <w:szCs w:val="24"/>
          <w:lang w:val="tr-TR"/>
        </w:rPr>
        <w:t>YH</w:t>
      </w:r>
      <w:r w:rsidR="00E4323D">
        <w:rPr>
          <w:rFonts w:ascii="Arial" w:hAnsi="Arial" w:cs="Arial"/>
          <w:sz w:val="24"/>
          <w:szCs w:val="24"/>
          <w:lang w:val="tr-TR"/>
        </w:rPr>
        <w:t>’nın</w:t>
      </w:r>
      <w:proofErr w:type="spellEnd"/>
      <w:r w:rsidR="00E4323D">
        <w:rPr>
          <w:rFonts w:ascii="Arial" w:hAnsi="Arial" w:cs="Arial"/>
          <w:sz w:val="24"/>
          <w:szCs w:val="24"/>
          <w:lang w:val="tr-TR"/>
        </w:rPr>
        <w:t xml:space="preserve"> </w:t>
      </w:r>
      <w:r w:rsidRPr="00032574">
        <w:rPr>
          <w:rFonts w:ascii="Arial" w:hAnsi="Arial" w:cs="Arial"/>
          <w:sz w:val="24"/>
          <w:szCs w:val="24"/>
        </w:rPr>
        <w:t>yüzde 36,</w:t>
      </w:r>
      <w:r w:rsidR="00E4323D" w:rsidRPr="0010769B">
        <w:rPr>
          <w:rFonts w:ascii="Arial" w:hAnsi="Arial" w:cs="Arial"/>
          <w:sz w:val="24"/>
          <w:szCs w:val="24"/>
          <w:lang w:val="tr-TR"/>
        </w:rPr>
        <w:t>2’si</w:t>
      </w:r>
      <w:r w:rsidR="00E4323D" w:rsidRPr="00585E68">
        <w:rPr>
          <w:rFonts w:ascii="Arial" w:hAnsi="Arial" w:cs="Arial"/>
          <w:sz w:val="24"/>
          <w:szCs w:val="24"/>
        </w:rPr>
        <w:t xml:space="preserve"> </w:t>
      </w:r>
      <w:r w:rsidRPr="00585E68">
        <w:rPr>
          <w:rFonts w:ascii="Arial" w:hAnsi="Arial" w:cs="Arial"/>
          <w:sz w:val="24"/>
          <w:szCs w:val="24"/>
        </w:rPr>
        <w:t xml:space="preserve">olarak gerçekleşen AB tanımlı genel devlet borç stokunun </w:t>
      </w:r>
      <w:r w:rsidR="00353656">
        <w:rPr>
          <w:rFonts w:ascii="Arial" w:hAnsi="Arial" w:cs="Arial"/>
          <w:sz w:val="24"/>
          <w:szCs w:val="24"/>
          <w:lang w:val="tr-TR"/>
        </w:rPr>
        <w:t xml:space="preserve">2014 yılında </w:t>
      </w:r>
      <w:r w:rsidRPr="00585E68">
        <w:rPr>
          <w:rFonts w:ascii="Arial" w:hAnsi="Arial" w:cs="Arial"/>
          <w:sz w:val="24"/>
          <w:szCs w:val="24"/>
        </w:rPr>
        <w:t xml:space="preserve">yüzde </w:t>
      </w:r>
      <w:r w:rsidR="00E4323D">
        <w:rPr>
          <w:rFonts w:ascii="Arial" w:hAnsi="Arial" w:cs="Arial"/>
          <w:sz w:val="24"/>
          <w:szCs w:val="24"/>
          <w:lang w:val="tr-TR"/>
        </w:rPr>
        <w:t>33,1</w:t>
      </w:r>
      <w:r w:rsidRPr="00585E68">
        <w:rPr>
          <w:rFonts w:ascii="Arial" w:hAnsi="Arial" w:cs="Arial"/>
          <w:sz w:val="24"/>
          <w:szCs w:val="24"/>
        </w:rPr>
        <w:t xml:space="preserve">’e </w:t>
      </w:r>
      <w:r w:rsidR="00E4323D">
        <w:rPr>
          <w:rFonts w:ascii="Arial" w:hAnsi="Arial" w:cs="Arial"/>
          <w:sz w:val="24"/>
          <w:szCs w:val="24"/>
          <w:lang w:val="tr-TR"/>
        </w:rPr>
        <w:t>düşmesi</w:t>
      </w:r>
      <w:r w:rsidR="00E4323D" w:rsidRPr="00585E68">
        <w:rPr>
          <w:rFonts w:ascii="Arial" w:hAnsi="Arial" w:cs="Arial"/>
          <w:sz w:val="24"/>
          <w:szCs w:val="24"/>
        </w:rPr>
        <w:t xml:space="preserve"> </w:t>
      </w:r>
      <w:r w:rsidR="00353656">
        <w:rPr>
          <w:rFonts w:ascii="Arial" w:hAnsi="Arial" w:cs="Arial"/>
          <w:sz w:val="24"/>
          <w:szCs w:val="24"/>
          <w:lang w:val="tr-TR"/>
        </w:rPr>
        <w:t>öngörülmektedir</w:t>
      </w:r>
      <w:r w:rsidRPr="00585E68">
        <w:rPr>
          <w:rFonts w:ascii="Arial" w:hAnsi="Arial" w:cs="Arial"/>
          <w:sz w:val="24"/>
          <w:szCs w:val="24"/>
        </w:rPr>
        <w:t>.</w:t>
      </w:r>
    </w:p>
    <w:p w:rsidR="003C6EB6" w:rsidRPr="00585E68" w:rsidRDefault="008E6992" w:rsidP="0010769B">
      <w:pPr>
        <w:tabs>
          <w:tab w:val="left" w:pos="567"/>
        </w:tabs>
        <w:autoSpaceDE w:val="0"/>
        <w:autoSpaceDN w:val="0"/>
        <w:adjustRightInd w:val="0"/>
        <w:spacing w:after="120" w:line="240" w:lineRule="auto"/>
        <w:jc w:val="both"/>
        <w:rPr>
          <w:rFonts w:ascii="Arial" w:hAnsi="Arial" w:cs="Arial"/>
          <w:b/>
          <w:sz w:val="24"/>
          <w:szCs w:val="24"/>
        </w:rPr>
      </w:pPr>
      <w:r>
        <w:rPr>
          <w:rFonts w:ascii="Arial" w:hAnsi="Arial" w:cs="Arial"/>
          <w:b/>
          <w:sz w:val="24"/>
          <w:szCs w:val="24"/>
        </w:rPr>
        <w:tab/>
      </w:r>
      <w:r w:rsidR="003C6EB6" w:rsidRPr="00585E68">
        <w:rPr>
          <w:rFonts w:ascii="Arial" w:hAnsi="Arial" w:cs="Arial"/>
          <w:b/>
          <w:sz w:val="24"/>
          <w:szCs w:val="24"/>
        </w:rPr>
        <w:t>II. TEMEL AMAÇ</w:t>
      </w:r>
    </w:p>
    <w:p w:rsidR="00555530" w:rsidRPr="00585E68" w:rsidRDefault="004E0AEB"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2015-201</w:t>
      </w:r>
      <w:r w:rsidR="00A75BCC" w:rsidRPr="00585E68">
        <w:rPr>
          <w:rFonts w:ascii="Arial" w:hAnsi="Arial" w:cs="Arial"/>
          <w:sz w:val="24"/>
          <w:szCs w:val="24"/>
          <w:lang w:val="tr-TR"/>
        </w:rPr>
        <w:t>7</w:t>
      </w:r>
      <w:r w:rsidRPr="00585E68">
        <w:rPr>
          <w:rFonts w:ascii="Arial" w:hAnsi="Arial" w:cs="Arial"/>
          <w:sz w:val="24"/>
          <w:szCs w:val="24"/>
        </w:rPr>
        <w:t xml:space="preserve"> dönemini kapsayan </w:t>
      </w:r>
      <w:proofErr w:type="spellStart"/>
      <w:r w:rsidRPr="00585E68">
        <w:rPr>
          <w:rFonts w:ascii="Arial" w:hAnsi="Arial" w:cs="Arial"/>
          <w:sz w:val="24"/>
          <w:szCs w:val="24"/>
        </w:rPr>
        <w:t>O</w:t>
      </w:r>
      <w:r w:rsidR="00CA3537">
        <w:rPr>
          <w:rFonts w:ascii="Arial" w:hAnsi="Arial" w:cs="Arial"/>
          <w:sz w:val="24"/>
          <w:szCs w:val="24"/>
          <w:lang w:val="tr-TR"/>
        </w:rPr>
        <w:t>VP’nin</w:t>
      </w:r>
      <w:proofErr w:type="spellEnd"/>
      <w:r w:rsidR="00DD4050" w:rsidRPr="00585E68">
        <w:rPr>
          <w:rFonts w:ascii="Arial" w:hAnsi="Arial" w:cs="Arial"/>
          <w:sz w:val="24"/>
          <w:szCs w:val="24"/>
        </w:rPr>
        <w:t xml:space="preserve"> temel amacı</w:t>
      </w:r>
      <w:r w:rsidRPr="00585E68">
        <w:rPr>
          <w:rFonts w:ascii="Arial" w:hAnsi="Arial" w:cs="Arial"/>
          <w:sz w:val="24"/>
          <w:szCs w:val="24"/>
        </w:rPr>
        <w:t xml:space="preserve"> enflasyonla</w:t>
      </w:r>
      <w:r w:rsidR="00550833" w:rsidRPr="00585E68">
        <w:rPr>
          <w:rFonts w:ascii="Arial" w:hAnsi="Arial" w:cs="Arial"/>
          <w:sz w:val="24"/>
          <w:szCs w:val="24"/>
          <w:lang w:val="tr-TR"/>
        </w:rPr>
        <w:t xml:space="preserve"> </w:t>
      </w:r>
      <w:r w:rsidRPr="00585E68">
        <w:rPr>
          <w:rFonts w:ascii="Arial" w:hAnsi="Arial" w:cs="Arial"/>
          <w:sz w:val="24"/>
          <w:szCs w:val="24"/>
        </w:rPr>
        <w:t>mücadeleye</w:t>
      </w:r>
      <w:r w:rsidR="00DD4050" w:rsidRPr="00585E68">
        <w:rPr>
          <w:rFonts w:ascii="Arial" w:hAnsi="Arial" w:cs="Arial"/>
          <w:sz w:val="24"/>
          <w:szCs w:val="24"/>
          <w:lang w:val="tr-TR"/>
        </w:rPr>
        <w:t xml:space="preserve"> kararlılıkla</w:t>
      </w:r>
      <w:r w:rsidR="00550833" w:rsidRPr="00585E68">
        <w:rPr>
          <w:rFonts w:ascii="Arial" w:hAnsi="Arial" w:cs="Arial"/>
          <w:sz w:val="24"/>
          <w:szCs w:val="24"/>
        </w:rPr>
        <w:t xml:space="preserve"> devam etmek</w:t>
      </w:r>
      <w:r w:rsidR="00F975ED">
        <w:rPr>
          <w:rFonts w:ascii="Arial" w:hAnsi="Arial" w:cs="Arial"/>
          <w:sz w:val="24"/>
          <w:szCs w:val="24"/>
          <w:lang w:val="tr-TR"/>
        </w:rPr>
        <w:t xml:space="preserve"> ve</w:t>
      </w:r>
      <w:r w:rsidR="00550833" w:rsidRPr="00585E68">
        <w:rPr>
          <w:rFonts w:ascii="Arial" w:hAnsi="Arial" w:cs="Arial"/>
          <w:sz w:val="24"/>
          <w:szCs w:val="24"/>
          <w:lang w:val="tr-TR"/>
        </w:rPr>
        <w:t xml:space="preserve"> </w:t>
      </w:r>
      <w:r w:rsidR="00550833" w:rsidRPr="00585E68">
        <w:rPr>
          <w:rFonts w:ascii="Arial" w:hAnsi="Arial" w:cs="Arial"/>
          <w:sz w:val="24"/>
          <w:szCs w:val="24"/>
        </w:rPr>
        <w:t>cari işlemler açığı</w:t>
      </w:r>
      <w:r w:rsidR="00550833" w:rsidRPr="00585E68">
        <w:rPr>
          <w:rFonts w:ascii="Arial" w:hAnsi="Arial" w:cs="Arial"/>
          <w:sz w:val="24"/>
          <w:szCs w:val="24"/>
          <w:lang w:val="tr-TR"/>
        </w:rPr>
        <w:t>nı</w:t>
      </w:r>
      <w:r w:rsidR="006A0265">
        <w:rPr>
          <w:rFonts w:ascii="Arial" w:hAnsi="Arial" w:cs="Arial"/>
          <w:sz w:val="24"/>
          <w:szCs w:val="24"/>
          <w:lang w:val="tr-TR"/>
        </w:rPr>
        <w:t xml:space="preserve"> </w:t>
      </w:r>
      <w:r w:rsidR="00FF7774">
        <w:rPr>
          <w:rFonts w:ascii="Arial" w:hAnsi="Arial" w:cs="Arial"/>
          <w:sz w:val="24"/>
          <w:szCs w:val="24"/>
          <w:lang w:val="tr-TR"/>
        </w:rPr>
        <w:t xml:space="preserve">tedricen düşürerek </w:t>
      </w:r>
      <w:r w:rsidR="00550833" w:rsidRPr="00585E68">
        <w:rPr>
          <w:rFonts w:ascii="Arial" w:hAnsi="Arial" w:cs="Arial"/>
          <w:sz w:val="24"/>
          <w:szCs w:val="24"/>
          <w:lang w:val="tr-TR"/>
        </w:rPr>
        <w:t>büyümeyi artırmaktır. Bu amaca yönelik olarak</w:t>
      </w:r>
      <w:r w:rsidR="00555530" w:rsidRPr="00585E68">
        <w:rPr>
          <w:rFonts w:ascii="Arial" w:hAnsi="Arial" w:cs="Arial"/>
          <w:sz w:val="24"/>
          <w:szCs w:val="24"/>
          <w:lang w:val="tr-TR"/>
        </w:rPr>
        <w:t>,</w:t>
      </w:r>
      <w:r w:rsidR="00550833" w:rsidRPr="00585E68">
        <w:rPr>
          <w:rFonts w:ascii="Arial" w:hAnsi="Arial" w:cs="Arial"/>
          <w:sz w:val="24"/>
          <w:szCs w:val="24"/>
          <w:lang w:val="tr-TR"/>
        </w:rPr>
        <w:t xml:space="preserve"> </w:t>
      </w:r>
      <w:r w:rsidR="00555530" w:rsidRPr="00585E68">
        <w:rPr>
          <w:rFonts w:ascii="Arial" w:hAnsi="Arial" w:cs="Arial"/>
          <w:sz w:val="24"/>
          <w:szCs w:val="24"/>
          <w:lang w:val="tr-TR"/>
        </w:rPr>
        <w:t>para ve</w:t>
      </w:r>
      <w:r w:rsidR="00550833" w:rsidRPr="00585E68">
        <w:rPr>
          <w:rFonts w:ascii="Arial" w:hAnsi="Arial" w:cs="Arial"/>
          <w:sz w:val="24"/>
          <w:szCs w:val="24"/>
          <w:lang w:val="tr-TR"/>
        </w:rPr>
        <w:t xml:space="preserve"> maliye </w:t>
      </w:r>
      <w:r w:rsidR="00555530" w:rsidRPr="00585E68">
        <w:rPr>
          <w:rFonts w:ascii="Arial" w:hAnsi="Arial" w:cs="Arial"/>
          <w:sz w:val="24"/>
          <w:szCs w:val="24"/>
          <w:lang w:val="tr-TR"/>
        </w:rPr>
        <w:t xml:space="preserve">politikasında </w:t>
      </w:r>
      <w:r w:rsidR="0026347F">
        <w:rPr>
          <w:rFonts w:ascii="Arial" w:hAnsi="Arial" w:cs="Arial"/>
          <w:sz w:val="24"/>
          <w:szCs w:val="24"/>
          <w:lang w:val="tr-TR"/>
        </w:rPr>
        <w:t>sıkı duruş</w:t>
      </w:r>
      <w:r w:rsidR="00555530" w:rsidRPr="00585E68">
        <w:rPr>
          <w:rFonts w:ascii="Arial" w:hAnsi="Arial" w:cs="Arial"/>
          <w:sz w:val="24"/>
          <w:szCs w:val="24"/>
          <w:lang w:val="tr-TR"/>
        </w:rPr>
        <w:t xml:space="preserve"> devam ettirilecek,</w:t>
      </w:r>
      <w:r w:rsidR="00550833" w:rsidRPr="00585E68">
        <w:rPr>
          <w:rFonts w:ascii="Arial" w:hAnsi="Arial" w:cs="Arial"/>
          <w:sz w:val="24"/>
          <w:szCs w:val="24"/>
          <w:lang w:val="tr-TR"/>
        </w:rPr>
        <w:t xml:space="preserve"> gelirler politikası</w:t>
      </w:r>
      <w:r w:rsidR="00555530" w:rsidRPr="00585E68">
        <w:rPr>
          <w:rFonts w:ascii="Arial" w:hAnsi="Arial" w:cs="Arial"/>
          <w:sz w:val="24"/>
          <w:szCs w:val="24"/>
          <w:lang w:val="tr-TR"/>
        </w:rPr>
        <w:t>y</w:t>
      </w:r>
      <w:r w:rsidR="00694A27" w:rsidRPr="00585E68">
        <w:rPr>
          <w:rFonts w:ascii="Arial" w:hAnsi="Arial" w:cs="Arial"/>
          <w:sz w:val="24"/>
          <w:szCs w:val="24"/>
          <w:lang w:val="tr-TR"/>
        </w:rPr>
        <w:t xml:space="preserve">la da bu duruş desteklenecek ve yapısal reformlara hız verilecektir. </w:t>
      </w:r>
    </w:p>
    <w:p w:rsidR="00A53F66" w:rsidRPr="00585E68" w:rsidRDefault="00F342C0"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 xml:space="preserve">Program döneminde, </w:t>
      </w:r>
      <w:r w:rsidR="00694A27" w:rsidRPr="00585E68">
        <w:rPr>
          <w:rFonts w:ascii="Arial" w:hAnsi="Arial" w:cs="Arial"/>
          <w:sz w:val="24"/>
          <w:szCs w:val="24"/>
          <w:lang w:val="tr-TR"/>
        </w:rPr>
        <w:t>y</w:t>
      </w:r>
      <w:proofErr w:type="spellStart"/>
      <w:r w:rsidR="00694A27" w:rsidRPr="00585E68">
        <w:rPr>
          <w:rFonts w:ascii="Arial" w:hAnsi="Arial" w:cs="Arial"/>
          <w:sz w:val="24"/>
          <w:szCs w:val="24"/>
        </w:rPr>
        <w:t>urt</w:t>
      </w:r>
      <w:proofErr w:type="spellEnd"/>
      <w:r w:rsidR="00211F9B" w:rsidRPr="00585E68">
        <w:rPr>
          <w:rFonts w:ascii="Arial" w:hAnsi="Arial" w:cs="Arial"/>
          <w:sz w:val="24"/>
          <w:szCs w:val="24"/>
          <w:lang w:val="tr-TR"/>
        </w:rPr>
        <w:t xml:space="preserve"> </w:t>
      </w:r>
      <w:r w:rsidR="00694A27" w:rsidRPr="00585E68">
        <w:rPr>
          <w:rFonts w:ascii="Arial" w:hAnsi="Arial" w:cs="Arial"/>
          <w:sz w:val="24"/>
          <w:szCs w:val="24"/>
        </w:rPr>
        <w:t>içi tasarrufları artır</w:t>
      </w:r>
      <w:r w:rsidR="00BB790F" w:rsidRPr="00585E68">
        <w:rPr>
          <w:rFonts w:ascii="Arial" w:hAnsi="Arial" w:cs="Arial"/>
          <w:sz w:val="24"/>
          <w:szCs w:val="24"/>
          <w:lang w:val="tr-TR"/>
        </w:rPr>
        <w:t>mak</w:t>
      </w:r>
      <w:r w:rsidR="00694A27" w:rsidRPr="00585E68">
        <w:rPr>
          <w:rFonts w:ascii="Arial" w:hAnsi="Arial" w:cs="Arial"/>
          <w:sz w:val="24"/>
          <w:szCs w:val="24"/>
          <w:lang w:val="tr-TR"/>
        </w:rPr>
        <w:t>,</w:t>
      </w:r>
      <w:r w:rsidR="00694A27" w:rsidRPr="00585E68">
        <w:rPr>
          <w:rFonts w:ascii="Arial" w:hAnsi="Arial" w:cs="Arial"/>
          <w:sz w:val="24"/>
          <w:szCs w:val="24"/>
        </w:rPr>
        <w:t xml:space="preserve"> mevcut kaynaklar</w:t>
      </w:r>
      <w:r w:rsidR="00BB790F" w:rsidRPr="00585E68">
        <w:rPr>
          <w:rFonts w:ascii="Arial" w:hAnsi="Arial" w:cs="Arial"/>
          <w:sz w:val="24"/>
          <w:szCs w:val="24"/>
          <w:lang w:val="tr-TR"/>
        </w:rPr>
        <w:t>ı</w:t>
      </w:r>
      <w:r w:rsidR="00694A27" w:rsidRPr="00585E68">
        <w:rPr>
          <w:rFonts w:ascii="Arial" w:hAnsi="Arial" w:cs="Arial"/>
          <w:sz w:val="24"/>
          <w:szCs w:val="24"/>
          <w:lang w:val="tr-TR"/>
        </w:rPr>
        <w:t xml:space="preserve"> </w:t>
      </w:r>
      <w:r w:rsidR="00694A27" w:rsidRPr="00585E68">
        <w:rPr>
          <w:rFonts w:ascii="Arial" w:hAnsi="Arial" w:cs="Arial"/>
          <w:sz w:val="24"/>
          <w:szCs w:val="24"/>
        </w:rPr>
        <w:t>üretken alanlara yönlendir</w:t>
      </w:r>
      <w:r w:rsidR="00BB790F" w:rsidRPr="00585E68">
        <w:rPr>
          <w:rFonts w:ascii="Arial" w:hAnsi="Arial" w:cs="Arial"/>
          <w:sz w:val="24"/>
          <w:szCs w:val="24"/>
          <w:lang w:val="tr-TR"/>
        </w:rPr>
        <w:t>mek</w:t>
      </w:r>
      <w:r w:rsidR="00694A27" w:rsidRPr="00585E68">
        <w:rPr>
          <w:rFonts w:ascii="Arial" w:hAnsi="Arial" w:cs="Arial"/>
          <w:sz w:val="24"/>
          <w:szCs w:val="24"/>
          <w:lang w:val="tr-TR"/>
        </w:rPr>
        <w:t>, ekonominin üretim kapasitesini ve teknoloji seviyesini</w:t>
      </w:r>
      <w:r w:rsidR="00BB790F" w:rsidRPr="00585E68">
        <w:rPr>
          <w:rFonts w:ascii="Arial" w:hAnsi="Arial" w:cs="Arial"/>
          <w:sz w:val="24"/>
          <w:szCs w:val="24"/>
          <w:lang w:val="tr-TR"/>
        </w:rPr>
        <w:t xml:space="preserve"> yükseltmek,</w:t>
      </w:r>
      <w:r w:rsidR="00694A27" w:rsidRPr="00585E68">
        <w:rPr>
          <w:rFonts w:ascii="Arial" w:hAnsi="Arial" w:cs="Arial"/>
          <w:sz w:val="24"/>
          <w:szCs w:val="24"/>
        </w:rPr>
        <w:t xml:space="preserve"> </w:t>
      </w:r>
      <w:r w:rsidR="00BB790F" w:rsidRPr="00585E68">
        <w:rPr>
          <w:rFonts w:ascii="Arial" w:hAnsi="Arial" w:cs="Arial"/>
          <w:sz w:val="24"/>
          <w:szCs w:val="24"/>
        </w:rPr>
        <w:t>verimlilik düzeyi</w:t>
      </w:r>
      <w:r w:rsidR="00BB790F" w:rsidRPr="00585E68">
        <w:rPr>
          <w:rFonts w:ascii="Arial" w:hAnsi="Arial" w:cs="Arial"/>
          <w:sz w:val="24"/>
          <w:szCs w:val="24"/>
          <w:lang w:val="tr-TR"/>
        </w:rPr>
        <w:t>ni</w:t>
      </w:r>
      <w:r w:rsidR="00552290">
        <w:rPr>
          <w:rFonts w:ascii="Arial" w:hAnsi="Arial" w:cs="Arial"/>
          <w:sz w:val="24"/>
          <w:szCs w:val="24"/>
          <w:lang w:val="tr-TR"/>
        </w:rPr>
        <w:t xml:space="preserve"> ve</w:t>
      </w:r>
      <w:r w:rsidR="00BB790F" w:rsidRPr="00585E68">
        <w:rPr>
          <w:rFonts w:ascii="Arial" w:hAnsi="Arial" w:cs="Arial"/>
          <w:sz w:val="24"/>
          <w:szCs w:val="24"/>
          <w:lang w:val="tr-TR"/>
        </w:rPr>
        <w:t xml:space="preserve"> </w:t>
      </w:r>
      <w:r w:rsidR="00A53F66" w:rsidRPr="00585E68">
        <w:rPr>
          <w:rFonts w:ascii="Arial" w:hAnsi="Arial" w:cs="Arial"/>
          <w:sz w:val="24"/>
          <w:szCs w:val="24"/>
        </w:rPr>
        <w:t>ihracat</w:t>
      </w:r>
      <w:r w:rsidR="00A53F66" w:rsidRPr="00585E68">
        <w:rPr>
          <w:rFonts w:ascii="Arial" w:hAnsi="Arial" w:cs="Arial"/>
          <w:sz w:val="24"/>
          <w:szCs w:val="24"/>
          <w:lang w:val="tr-TR"/>
        </w:rPr>
        <w:t>ın büyümeye katkısını artırmak temel öncelik</w:t>
      </w:r>
      <w:r w:rsidR="008D78CE" w:rsidRPr="00585E68">
        <w:rPr>
          <w:rFonts w:ascii="Arial" w:hAnsi="Arial" w:cs="Arial"/>
          <w:sz w:val="24"/>
          <w:szCs w:val="24"/>
          <w:lang w:val="tr-TR"/>
        </w:rPr>
        <w:t>lerimizdir.</w:t>
      </w:r>
      <w:r w:rsidR="005B113E">
        <w:rPr>
          <w:rFonts w:ascii="Arial" w:hAnsi="Arial" w:cs="Arial"/>
          <w:sz w:val="24"/>
          <w:szCs w:val="24"/>
          <w:lang w:val="tr-TR"/>
        </w:rPr>
        <w:t xml:space="preserve"> </w:t>
      </w:r>
    </w:p>
    <w:p w:rsidR="005B113E" w:rsidRPr="00E45A18" w:rsidRDefault="00694A27"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 xml:space="preserve">Bu çerçevede; </w:t>
      </w:r>
      <w:r w:rsidR="008D78CE" w:rsidRPr="00585E68">
        <w:rPr>
          <w:rFonts w:ascii="Arial" w:hAnsi="Arial" w:cs="Arial"/>
          <w:sz w:val="24"/>
          <w:szCs w:val="24"/>
        </w:rPr>
        <w:t>yatırım ortamının iyileştirilmesi</w:t>
      </w:r>
      <w:r w:rsidR="008D78CE" w:rsidRPr="00585E68">
        <w:rPr>
          <w:rFonts w:ascii="Arial" w:hAnsi="Arial" w:cs="Arial"/>
          <w:sz w:val="24"/>
          <w:szCs w:val="24"/>
          <w:lang w:val="tr-TR"/>
        </w:rPr>
        <w:t xml:space="preserve">, </w:t>
      </w:r>
      <w:r w:rsidR="007444C4" w:rsidRPr="00585E68">
        <w:rPr>
          <w:rFonts w:ascii="Arial" w:hAnsi="Arial" w:cs="Arial"/>
          <w:sz w:val="24"/>
          <w:szCs w:val="24"/>
          <w:lang w:val="tr-TR"/>
        </w:rPr>
        <w:t>mali piyasalarda ürün ve hizmet çeşitliliği ile derinliğin artırılması,</w:t>
      </w:r>
      <w:r w:rsidR="005218EF" w:rsidRPr="00585E68">
        <w:rPr>
          <w:rFonts w:ascii="Arial" w:hAnsi="Arial" w:cs="Arial"/>
          <w:sz w:val="24"/>
          <w:szCs w:val="24"/>
          <w:lang w:val="tr-TR"/>
        </w:rPr>
        <w:t xml:space="preserve"> kamu gelir ve harcamalarının kalitesinin yükseltilmesi ve</w:t>
      </w:r>
      <w:r w:rsidR="006D4327" w:rsidRPr="00585E68">
        <w:rPr>
          <w:rFonts w:ascii="Arial" w:hAnsi="Arial" w:cs="Arial"/>
          <w:sz w:val="24"/>
          <w:szCs w:val="24"/>
          <w:lang w:val="tr-TR"/>
        </w:rPr>
        <w:t xml:space="preserve"> </w:t>
      </w:r>
      <w:r w:rsidRPr="00585E68">
        <w:rPr>
          <w:rFonts w:ascii="Arial" w:hAnsi="Arial" w:cs="Arial"/>
          <w:sz w:val="24"/>
          <w:szCs w:val="24"/>
        </w:rPr>
        <w:t>işgücü piyasası, eğitim ve yargı sistemi, kayıt dışılık, devlet yardımları, iyi yönetişim, yerel yönetimler ve bölgesel gelişme alanlarında başlatılan yapısal dönüşüm</w:t>
      </w:r>
      <w:r w:rsidRPr="00585E68">
        <w:rPr>
          <w:rFonts w:ascii="Arial" w:hAnsi="Arial" w:cs="Arial"/>
          <w:sz w:val="24"/>
          <w:szCs w:val="24"/>
          <w:lang w:val="tr-TR"/>
        </w:rPr>
        <w:t xml:space="preserve"> ve reformlar</w:t>
      </w:r>
      <w:r w:rsidR="00C74EBF" w:rsidRPr="00585E68">
        <w:rPr>
          <w:rFonts w:ascii="Arial" w:hAnsi="Arial" w:cs="Arial"/>
          <w:sz w:val="24"/>
          <w:szCs w:val="24"/>
          <w:lang w:val="tr-TR"/>
        </w:rPr>
        <w:t>ın tamamlanması</w:t>
      </w:r>
      <w:r w:rsidRPr="00585E68">
        <w:rPr>
          <w:rFonts w:ascii="Arial" w:hAnsi="Arial" w:cs="Arial"/>
          <w:sz w:val="24"/>
          <w:szCs w:val="24"/>
        </w:rPr>
        <w:t xml:space="preserve"> önem arz etmektedir. </w:t>
      </w:r>
      <w:r w:rsidR="005B113E">
        <w:rPr>
          <w:rFonts w:ascii="Arial" w:hAnsi="Arial" w:cs="Arial"/>
          <w:sz w:val="24"/>
          <w:szCs w:val="24"/>
          <w:lang w:val="tr-TR"/>
        </w:rPr>
        <w:t xml:space="preserve">Bu doğrultuda </w:t>
      </w:r>
      <w:r w:rsidR="00ED7852">
        <w:rPr>
          <w:rFonts w:ascii="Arial" w:hAnsi="Arial" w:cs="Arial"/>
          <w:sz w:val="24"/>
          <w:szCs w:val="24"/>
          <w:lang w:val="tr-TR"/>
        </w:rPr>
        <w:t xml:space="preserve">Onuncu Kalkınma </w:t>
      </w:r>
      <w:r w:rsidR="00ED7852">
        <w:rPr>
          <w:rFonts w:ascii="Arial" w:hAnsi="Arial" w:cs="Arial"/>
          <w:sz w:val="24"/>
          <w:szCs w:val="24"/>
        </w:rPr>
        <w:t>Planında</w:t>
      </w:r>
      <w:r w:rsidR="005B113E">
        <w:rPr>
          <w:rFonts w:ascii="Arial" w:hAnsi="Arial" w:cs="Arial"/>
          <w:sz w:val="24"/>
          <w:szCs w:val="24"/>
        </w:rPr>
        <w:t xml:space="preserve"> y</w:t>
      </w:r>
      <w:r w:rsidR="00E45A18">
        <w:rPr>
          <w:rFonts w:ascii="Arial" w:hAnsi="Arial" w:cs="Arial"/>
          <w:sz w:val="24"/>
          <w:szCs w:val="24"/>
          <w:lang w:val="tr-TR"/>
        </w:rPr>
        <w:t>er alan</w:t>
      </w:r>
      <w:r w:rsidR="005B113E">
        <w:rPr>
          <w:rFonts w:ascii="Arial" w:hAnsi="Arial" w:cs="Arial"/>
          <w:sz w:val="24"/>
          <w:szCs w:val="24"/>
        </w:rPr>
        <w:t xml:space="preserve"> 25 öncelikli dönüşüm programı </w:t>
      </w:r>
      <w:r w:rsidR="005B113E">
        <w:rPr>
          <w:rFonts w:ascii="Arial" w:hAnsi="Arial" w:cs="Arial"/>
          <w:sz w:val="24"/>
          <w:szCs w:val="24"/>
          <w:lang w:val="tr-TR"/>
        </w:rPr>
        <w:t xml:space="preserve">OVP döneminde </w:t>
      </w:r>
      <w:r w:rsidR="00E45A18">
        <w:rPr>
          <w:rFonts w:ascii="Arial" w:hAnsi="Arial" w:cs="Arial"/>
          <w:sz w:val="24"/>
          <w:szCs w:val="24"/>
          <w:lang w:val="tr-TR"/>
        </w:rPr>
        <w:t>etkin bir şekilde uygulanacaktır</w:t>
      </w:r>
      <w:r w:rsidR="005B113E">
        <w:rPr>
          <w:rFonts w:ascii="Arial" w:hAnsi="Arial" w:cs="Arial"/>
          <w:sz w:val="24"/>
          <w:szCs w:val="24"/>
          <w:lang w:val="tr-TR"/>
        </w:rPr>
        <w:t>.</w:t>
      </w:r>
    </w:p>
    <w:p w:rsidR="003C6EB6" w:rsidRPr="00585E68" w:rsidRDefault="008E6992" w:rsidP="0010769B">
      <w:pPr>
        <w:tabs>
          <w:tab w:val="left" w:pos="567"/>
        </w:tabs>
        <w:spacing w:after="120" w:line="240" w:lineRule="auto"/>
        <w:jc w:val="both"/>
        <w:rPr>
          <w:rFonts w:ascii="Arial" w:hAnsi="Arial" w:cs="Arial"/>
          <w:sz w:val="24"/>
          <w:szCs w:val="24"/>
        </w:rPr>
      </w:pPr>
      <w:r>
        <w:rPr>
          <w:rFonts w:ascii="Arial" w:hAnsi="Arial" w:cs="Arial"/>
          <w:b/>
          <w:sz w:val="24"/>
          <w:szCs w:val="24"/>
        </w:rPr>
        <w:tab/>
      </w:r>
      <w:r w:rsidR="003C6EB6" w:rsidRPr="00585E68">
        <w:rPr>
          <w:rFonts w:ascii="Arial" w:hAnsi="Arial" w:cs="Arial"/>
          <w:b/>
          <w:sz w:val="24"/>
          <w:szCs w:val="24"/>
        </w:rPr>
        <w:t>III. MAKROEKONOMİK HEDEFLER VE POLİTİKALAR</w:t>
      </w:r>
    </w:p>
    <w:p w:rsidR="003C6EB6" w:rsidRPr="00585E68" w:rsidRDefault="008E6992" w:rsidP="0010769B">
      <w:pPr>
        <w:tabs>
          <w:tab w:val="left" w:pos="567"/>
        </w:tabs>
        <w:autoSpaceDE w:val="0"/>
        <w:autoSpaceDN w:val="0"/>
        <w:adjustRightInd w:val="0"/>
        <w:spacing w:after="120" w:line="240" w:lineRule="auto"/>
        <w:jc w:val="both"/>
        <w:rPr>
          <w:rFonts w:ascii="Arial" w:hAnsi="Arial" w:cs="Arial"/>
          <w:b/>
          <w:sz w:val="24"/>
          <w:szCs w:val="24"/>
        </w:rPr>
      </w:pPr>
      <w:r>
        <w:rPr>
          <w:rFonts w:ascii="Arial" w:hAnsi="Arial" w:cs="Arial"/>
          <w:b/>
          <w:sz w:val="24"/>
          <w:szCs w:val="24"/>
        </w:rPr>
        <w:tab/>
      </w:r>
      <w:r w:rsidR="003C6EB6" w:rsidRPr="00585E68">
        <w:rPr>
          <w:rFonts w:ascii="Arial" w:hAnsi="Arial" w:cs="Arial"/>
          <w:b/>
          <w:sz w:val="24"/>
          <w:szCs w:val="24"/>
        </w:rPr>
        <w:t>A. PROGRAM DÖNEMİ HEDEF VE GÖSTERGELERİ</w:t>
      </w:r>
    </w:p>
    <w:p w:rsidR="00E43E06" w:rsidRPr="0010769B" w:rsidRDefault="00E43E06"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 xml:space="preserve">Programın makroekonomik çerçevesi oluşturulurken; dönem içerisinde, küresel büyümenin tedrici olarak artacağı, ticaret ortaklarımızın ılımlı büyüyeceği, </w:t>
      </w:r>
      <w:r w:rsidR="003C1045" w:rsidRPr="00FF7774">
        <w:rPr>
          <w:rFonts w:ascii="Arial" w:hAnsi="Arial" w:cs="Arial"/>
          <w:sz w:val="24"/>
          <w:szCs w:val="24"/>
        </w:rPr>
        <w:t xml:space="preserve">jeopolitik </w:t>
      </w:r>
      <w:r w:rsidR="0081768E">
        <w:rPr>
          <w:rFonts w:ascii="Arial" w:hAnsi="Arial" w:cs="Arial"/>
          <w:sz w:val="24"/>
          <w:szCs w:val="24"/>
          <w:lang w:val="tr-TR"/>
        </w:rPr>
        <w:t>durumun değişmeyeceği</w:t>
      </w:r>
      <w:r w:rsidR="003C1045" w:rsidRPr="00FF7774">
        <w:rPr>
          <w:rFonts w:ascii="Arial" w:hAnsi="Arial" w:cs="Arial"/>
          <w:sz w:val="24"/>
          <w:szCs w:val="24"/>
        </w:rPr>
        <w:t xml:space="preserve">, </w:t>
      </w:r>
      <w:r w:rsidR="006576ED" w:rsidRPr="00D86959">
        <w:rPr>
          <w:rFonts w:ascii="Arial" w:hAnsi="Arial" w:cs="Arial"/>
          <w:sz w:val="24"/>
          <w:szCs w:val="24"/>
        </w:rPr>
        <w:t>ABD Merkez Bankasının beklenen faiz artırı</w:t>
      </w:r>
      <w:r w:rsidR="006576ED" w:rsidRPr="00032574">
        <w:rPr>
          <w:rFonts w:ascii="Arial" w:hAnsi="Arial" w:cs="Arial"/>
          <w:sz w:val="24"/>
          <w:szCs w:val="24"/>
        </w:rPr>
        <w:t xml:space="preserve">m kararının ekonomimiz üzerindeki etkisinin sınırlı kalacağı, </w:t>
      </w:r>
      <w:r w:rsidR="00203E6B" w:rsidRPr="0010769B">
        <w:rPr>
          <w:rFonts w:ascii="Arial" w:hAnsi="Arial" w:cs="Arial"/>
          <w:sz w:val="24"/>
          <w:szCs w:val="24"/>
        </w:rPr>
        <w:t xml:space="preserve">büyümenin finansmanında </w:t>
      </w:r>
      <w:r w:rsidR="00954A03" w:rsidRPr="0010769B">
        <w:rPr>
          <w:rFonts w:ascii="Arial" w:hAnsi="Arial" w:cs="Arial"/>
          <w:sz w:val="24"/>
          <w:szCs w:val="24"/>
        </w:rPr>
        <w:t>yurt içi</w:t>
      </w:r>
      <w:r w:rsidR="003C1045" w:rsidRPr="0010769B">
        <w:rPr>
          <w:rFonts w:ascii="Arial" w:hAnsi="Arial" w:cs="Arial"/>
          <w:sz w:val="24"/>
          <w:szCs w:val="24"/>
        </w:rPr>
        <w:t xml:space="preserve"> tasarruflarla birlikte </w:t>
      </w:r>
      <w:r w:rsidR="00203E6B" w:rsidRPr="0010769B">
        <w:rPr>
          <w:rFonts w:ascii="Arial" w:hAnsi="Arial" w:cs="Arial"/>
          <w:sz w:val="24"/>
          <w:szCs w:val="24"/>
        </w:rPr>
        <w:t xml:space="preserve">yabancı sermaye girişinin yeterli katkıyı sağlayacağı, </w:t>
      </w:r>
      <w:r w:rsidR="003C1045" w:rsidRPr="0010769B">
        <w:rPr>
          <w:rFonts w:ascii="Arial" w:hAnsi="Arial" w:cs="Arial"/>
          <w:sz w:val="24"/>
          <w:szCs w:val="24"/>
        </w:rPr>
        <w:t xml:space="preserve">dış ticaret hadlerimizde göreli bir iyileşme olacağı </w:t>
      </w:r>
      <w:r w:rsidRPr="0010769B">
        <w:rPr>
          <w:rFonts w:ascii="Arial" w:hAnsi="Arial" w:cs="Arial"/>
          <w:sz w:val="24"/>
          <w:szCs w:val="24"/>
        </w:rPr>
        <w:t xml:space="preserve">varsayılmıştır. </w:t>
      </w:r>
    </w:p>
    <w:p w:rsidR="0016579D" w:rsidRPr="00585E68" w:rsidRDefault="008E6992" w:rsidP="0010769B">
      <w:pPr>
        <w:tabs>
          <w:tab w:val="left" w:pos="567"/>
        </w:tabs>
        <w:autoSpaceDE w:val="0"/>
        <w:autoSpaceDN w:val="0"/>
        <w:adjustRightInd w:val="0"/>
        <w:spacing w:after="120" w:line="240" w:lineRule="auto"/>
        <w:jc w:val="both"/>
        <w:rPr>
          <w:rFonts w:ascii="Arial" w:hAnsi="Arial" w:cs="Arial"/>
          <w:b/>
          <w:sz w:val="24"/>
          <w:szCs w:val="24"/>
        </w:rPr>
      </w:pPr>
      <w:r>
        <w:rPr>
          <w:rFonts w:ascii="Arial" w:hAnsi="Arial" w:cs="Arial"/>
          <w:b/>
          <w:sz w:val="24"/>
          <w:szCs w:val="24"/>
        </w:rPr>
        <w:tab/>
      </w:r>
      <w:r w:rsidR="0016579D" w:rsidRPr="00585E68">
        <w:rPr>
          <w:rFonts w:ascii="Arial" w:hAnsi="Arial" w:cs="Arial"/>
          <w:b/>
          <w:sz w:val="24"/>
          <w:szCs w:val="24"/>
        </w:rPr>
        <w:t>1. Büyüme</w:t>
      </w:r>
      <w:r w:rsidR="00F830DC" w:rsidRPr="00585E68">
        <w:rPr>
          <w:rFonts w:ascii="Arial" w:hAnsi="Arial" w:cs="Arial"/>
          <w:b/>
          <w:sz w:val="24"/>
          <w:szCs w:val="24"/>
        </w:rPr>
        <w:t xml:space="preserve">   </w:t>
      </w:r>
    </w:p>
    <w:p w:rsidR="0016579D" w:rsidRPr="00585E68" w:rsidRDefault="0016579D"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201</w:t>
      </w:r>
      <w:r w:rsidRPr="00585E68">
        <w:rPr>
          <w:rFonts w:ascii="Arial" w:hAnsi="Arial" w:cs="Arial"/>
          <w:sz w:val="24"/>
          <w:szCs w:val="24"/>
          <w:lang w:val="tr-TR"/>
        </w:rPr>
        <w:t>5</w:t>
      </w:r>
      <w:r w:rsidRPr="00585E68">
        <w:rPr>
          <w:rFonts w:ascii="Arial" w:hAnsi="Arial" w:cs="Arial"/>
          <w:sz w:val="24"/>
          <w:szCs w:val="24"/>
        </w:rPr>
        <w:t xml:space="preserve"> yılında GSYH büyümesi yüzde 4 olarak öngörülmüştür. 201</w:t>
      </w:r>
      <w:r w:rsidRPr="00585E68">
        <w:rPr>
          <w:rFonts w:ascii="Arial" w:hAnsi="Arial" w:cs="Arial"/>
          <w:sz w:val="24"/>
          <w:szCs w:val="24"/>
          <w:lang w:val="tr-TR"/>
        </w:rPr>
        <w:t>6</w:t>
      </w:r>
      <w:r w:rsidRPr="00585E68">
        <w:rPr>
          <w:rFonts w:ascii="Arial" w:hAnsi="Arial" w:cs="Arial"/>
          <w:sz w:val="24"/>
          <w:szCs w:val="24"/>
        </w:rPr>
        <w:t xml:space="preserve"> ve 201</w:t>
      </w:r>
      <w:r w:rsidRPr="00585E68">
        <w:rPr>
          <w:rFonts w:ascii="Arial" w:hAnsi="Arial" w:cs="Arial"/>
          <w:sz w:val="24"/>
          <w:szCs w:val="24"/>
          <w:lang w:val="tr-TR"/>
        </w:rPr>
        <w:t>7</w:t>
      </w:r>
      <w:r w:rsidRPr="00585E68">
        <w:rPr>
          <w:rFonts w:ascii="Arial" w:hAnsi="Arial" w:cs="Arial"/>
          <w:sz w:val="24"/>
          <w:szCs w:val="24"/>
        </w:rPr>
        <w:t xml:space="preserve"> yıllarında ise üretken alanlara yönelik yatırımlarla desteklenen, daha çok yurt içi tasarruflarla finanse edilen, verimlilik artışına dayalı bir büyüme stratejisiyle GSYH artış hızı yüzde 5 olarak hedeflenmiştir. </w:t>
      </w:r>
      <w:r w:rsidR="00C3689F">
        <w:rPr>
          <w:rFonts w:ascii="Arial" w:hAnsi="Arial" w:cs="Arial"/>
          <w:sz w:val="24"/>
          <w:szCs w:val="24"/>
          <w:lang w:val="tr-TR"/>
        </w:rPr>
        <w:t>Bu dönemde büyüme artırılırken cari açığın da tedricen düşürülmesi öngörülmüştür.</w:t>
      </w:r>
    </w:p>
    <w:p w:rsidR="00565333" w:rsidRPr="00585E68" w:rsidRDefault="00565333"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 xml:space="preserve">Özellikle sanayi sektöründe üretimde verimliliği artırmaya yönelik politikalar yoluyla </w:t>
      </w:r>
      <w:r w:rsidR="006D4327" w:rsidRPr="00585E68">
        <w:rPr>
          <w:rFonts w:ascii="Arial" w:hAnsi="Arial" w:cs="Arial"/>
          <w:sz w:val="24"/>
          <w:szCs w:val="24"/>
          <w:lang w:val="tr-TR"/>
        </w:rPr>
        <w:t>toplam faktör verimliliğinin</w:t>
      </w:r>
      <w:r w:rsidR="006D4327" w:rsidRPr="00585E68">
        <w:rPr>
          <w:rFonts w:ascii="Arial" w:hAnsi="Arial" w:cs="Arial"/>
          <w:sz w:val="24"/>
          <w:szCs w:val="24"/>
        </w:rPr>
        <w:t xml:space="preserve"> </w:t>
      </w:r>
      <w:r w:rsidRPr="00585E68">
        <w:rPr>
          <w:rFonts w:ascii="Arial" w:hAnsi="Arial" w:cs="Arial"/>
          <w:sz w:val="24"/>
          <w:szCs w:val="24"/>
        </w:rPr>
        <w:t>büyümeye katkısı artırılacak ve üretim faktörleri açısından daha dengeli bir büyüme yapısına geçiş sağlanacaktır.</w:t>
      </w:r>
      <w:r w:rsidR="00C3689F">
        <w:rPr>
          <w:rFonts w:ascii="Arial" w:hAnsi="Arial" w:cs="Arial"/>
          <w:sz w:val="24"/>
          <w:szCs w:val="24"/>
          <w:lang w:val="tr-TR"/>
        </w:rPr>
        <w:t xml:space="preserve"> </w:t>
      </w:r>
      <w:r w:rsidRPr="00585E68">
        <w:rPr>
          <w:rFonts w:ascii="Arial" w:hAnsi="Arial" w:cs="Arial"/>
          <w:sz w:val="24"/>
          <w:szCs w:val="24"/>
          <w:lang w:val="tr-TR"/>
        </w:rPr>
        <w:t xml:space="preserve">2013 ve 2014 yıllarında negatif olan </w:t>
      </w:r>
      <w:r w:rsidR="000A69E2" w:rsidRPr="00585E68">
        <w:rPr>
          <w:rFonts w:ascii="Arial" w:hAnsi="Arial" w:cs="Arial"/>
          <w:sz w:val="24"/>
          <w:szCs w:val="24"/>
          <w:lang w:val="tr-TR"/>
        </w:rPr>
        <w:t>toplam faktör verimliliğinin</w:t>
      </w:r>
      <w:r w:rsidRPr="00585E68">
        <w:rPr>
          <w:rFonts w:ascii="Arial" w:hAnsi="Arial" w:cs="Arial"/>
          <w:sz w:val="24"/>
          <w:szCs w:val="24"/>
        </w:rPr>
        <w:t xml:space="preserve"> büyümeye katkısının, program dönemi</w:t>
      </w:r>
      <w:r w:rsidR="0009644D" w:rsidRPr="00585E68">
        <w:rPr>
          <w:rFonts w:ascii="Arial" w:hAnsi="Arial" w:cs="Arial"/>
          <w:sz w:val="24"/>
          <w:szCs w:val="24"/>
          <w:lang w:val="tr-TR"/>
        </w:rPr>
        <w:t xml:space="preserve"> süresince </w:t>
      </w:r>
      <w:r w:rsidRPr="00585E68">
        <w:rPr>
          <w:rFonts w:ascii="Arial" w:hAnsi="Arial" w:cs="Arial"/>
          <w:sz w:val="24"/>
          <w:szCs w:val="24"/>
          <w:lang w:val="tr-TR"/>
        </w:rPr>
        <w:t>hızla yüksel</w:t>
      </w:r>
      <w:r w:rsidR="008315A1">
        <w:rPr>
          <w:rFonts w:ascii="Arial" w:hAnsi="Arial" w:cs="Arial"/>
          <w:sz w:val="24"/>
          <w:szCs w:val="24"/>
          <w:lang w:val="tr-TR"/>
        </w:rPr>
        <w:t xml:space="preserve">mesi </w:t>
      </w:r>
      <w:r w:rsidRPr="00585E68">
        <w:rPr>
          <w:rFonts w:ascii="Arial" w:hAnsi="Arial" w:cs="Arial"/>
          <w:sz w:val="24"/>
          <w:szCs w:val="24"/>
        </w:rPr>
        <w:t>öngörülmektedir.</w:t>
      </w:r>
    </w:p>
    <w:p w:rsidR="00211F9B" w:rsidRPr="0010769B" w:rsidRDefault="00211F9B"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Program döneminde, reel olarak yıllık ortalamada, özel </w:t>
      </w:r>
      <w:r w:rsidRPr="0010769B">
        <w:rPr>
          <w:rFonts w:ascii="Arial" w:hAnsi="Arial" w:cs="Arial"/>
          <w:sz w:val="24"/>
          <w:szCs w:val="24"/>
          <w:lang w:val="tr-TR"/>
        </w:rPr>
        <w:t xml:space="preserve">tüketim harcamalarının yüzde 4, </w:t>
      </w:r>
      <w:r w:rsidRPr="0010769B">
        <w:rPr>
          <w:rFonts w:ascii="Arial" w:hAnsi="Arial" w:cs="Arial"/>
          <w:sz w:val="24"/>
          <w:szCs w:val="24"/>
        </w:rPr>
        <w:t xml:space="preserve">kamu tüketim harcamalarının yüzde </w:t>
      </w:r>
      <w:r w:rsidR="001932B1" w:rsidRPr="0010769B">
        <w:rPr>
          <w:rFonts w:ascii="Arial" w:hAnsi="Arial" w:cs="Arial"/>
          <w:sz w:val="24"/>
          <w:szCs w:val="24"/>
          <w:lang w:val="tr-TR"/>
        </w:rPr>
        <w:t>3</w:t>
      </w:r>
      <w:r w:rsidR="00ED0163" w:rsidRPr="0010769B">
        <w:rPr>
          <w:rFonts w:ascii="Arial" w:hAnsi="Arial" w:cs="Arial"/>
          <w:sz w:val="24"/>
          <w:szCs w:val="24"/>
          <w:lang w:val="tr-TR"/>
        </w:rPr>
        <w:t>,1</w:t>
      </w:r>
      <w:r w:rsidRPr="0010769B">
        <w:rPr>
          <w:rFonts w:ascii="Arial" w:hAnsi="Arial" w:cs="Arial"/>
          <w:sz w:val="24"/>
          <w:szCs w:val="24"/>
        </w:rPr>
        <w:t xml:space="preserve">, özel sabit sermaye yatırımlarının yüzde </w:t>
      </w:r>
      <w:r w:rsidRPr="0010769B">
        <w:rPr>
          <w:rFonts w:ascii="Arial" w:hAnsi="Arial" w:cs="Arial"/>
          <w:sz w:val="24"/>
          <w:szCs w:val="24"/>
          <w:lang w:val="tr-TR"/>
        </w:rPr>
        <w:t>8</w:t>
      </w:r>
      <w:r w:rsidRPr="0010769B">
        <w:rPr>
          <w:rFonts w:ascii="Arial" w:hAnsi="Arial" w:cs="Arial"/>
          <w:sz w:val="24"/>
          <w:szCs w:val="24"/>
        </w:rPr>
        <w:t>,</w:t>
      </w:r>
      <w:r w:rsidR="008315A1" w:rsidRPr="0010769B">
        <w:rPr>
          <w:rFonts w:ascii="Arial" w:hAnsi="Arial" w:cs="Arial"/>
          <w:sz w:val="24"/>
          <w:szCs w:val="24"/>
          <w:lang w:val="tr-TR"/>
        </w:rPr>
        <w:t>7</w:t>
      </w:r>
      <w:r w:rsidRPr="0010769B">
        <w:rPr>
          <w:rFonts w:ascii="Arial" w:hAnsi="Arial" w:cs="Arial"/>
          <w:sz w:val="24"/>
          <w:szCs w:val="24"/>
        </w:rPr>
        <w:t xml:space="preserve">, kamu sabit sermaye yatırımlarının ise yüzde </w:t>
      </w:r>
      <w:r w:rsidR="001932B1" w:rsidRPr="0010769B">
        <w:rPr>
          <w:rFonts w:ascii="Arial" w:hAnsi="Arial" w:cs="Arial"/>
          <w:sz w:val="24"/>
          <w:szCs w:val="24"/>
          <w:lang w:val="tr-TR"/>
        </w:rPr>
        <w:t>2,</w:t>
      </w:r>
      <w:r w:rsidR="00834BCA" w:rsidRPr="0010769B">
        <w:rPr>
          <w:rFonts w:ascii="Arial" w:hAnsi="Arial" w:cs="Arial"/>
          <w:sz w:val="24"/>
          <w:szCs w:val="24"/>
          <w:lang w:val="tr-TR"/>
        </w:rPr>
        <w:t>7</w:t>
      </w:r>
      <w:r w:rsidRPr="0010769B">
        <w:rPr>
          <w:rFonts w:ascii="Arial" w:hAnsi="Arial" w:cs="Arial"/>
          <w:sz w:val="24"/>
          <w:szCs w:val="24"/>
        </w:rPr>
        <w:t xml:space="preserve"> oranında artması öngörülmektedir. </w:t>
      </w:r>
    </w:p>
    <w:p w:rsidR="00211F9B" w:rsidRPr="0010769B" w:rsidRDefault="00211F9B"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Son yıllarda önemli ölçüde düşen yurt içi tasarrufların dönem boyunca artarak Program dönemi sonunda yüzde </w:t>
      </w:r>
      <w:r w:rsidRPr="0010769B">
        <w:rPr>
          <w:rFonts w:ascii="Arial" w:hAnsi="Arial" w:cs="Arial"/>
          <w:sz w:val="24"/>
          <w:szCs w:val="24"/>
          <w:lang w:val="tr-TR"/>
        </w:rPr>
        <w:t>1</w:t>
      </w:r>
      <w:r w:rsidR="008315A1" w:rsidRPr="0010769B">
        <w:rPr>
          <w:rFonts w:ascii="Arial" w:hAnsi="Arial" w:cs="Arial"/>
          <w:sz w:val="24"/>
          <w:szCs w:val="24"/>
          <w:lang w:val="tr-TR"/>
        </w:rPr>
        <w:t>7</w:t>
      </w:r>
      <w:r w:rsidR="00834BCA" w:rsidRPr="0010769B">
        <w:rPr>
          <w:rFonts w:ascii="Arial" w:hAnsi="Arial" w:cs="Arial"/>
          <w:sz w:val="24"/>
          <w:szCs w:val="24"/>
          <w:lang w:val="tr-TR"/>
        </w:rPr>
        <w:t>,1</w:t>
      </w:r>
      <w:r w:rsidRPr="0010769B">
        <w:rPr>
          <w:rFonts w:ascii="Arial" w:hAnsi="Arial" w:cs="Arial"/>
          <w:sz w:val="24"/>
          <w:szCs w:val="24"/>
        </w:rPr>
        <w:t>’</w:t>
      </w:r>
      <w:r w:rsidRPr="0010769B">
        <w:rPr>
          <w:rFonts w:ascii="Arial" w:hAnsi="Arial" w:cs="Arial"/>
          <w:sz w:val="24"/>
          <w:szCs w:val="24"/>
          <w:lang w:val="tr-TR"/>
        </w:rPr>
        <w:t>e</w:t>
      </w:r>
      <w:r w:rsidRPr="0010769B">
        <w:rPr>
          <w:rFonts w:ascii="Arial" w:hAnsi="Arial" w:cs="Arial"/>
          <w:sz w:val="24"/>
          <w:szCs w:val="24"/>
        </w:rPr>
        <w:t xml:space="preserve"> ulaşması beklenmektedir. Bu gelişmede özel kesim tasarruflarındaki artış belirleyici olacaktır.</w:t>
      </w:r>
    </w:p>
    <w:p w:rsidR="00211F9B" w:rsidRPr="0010769B" w:rsidRDefault="00211F9B"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lastRenderedPageBreak/>
        <w:t xml:space="preserve">Program dönemi boyunca kamu kesimi tasarruf yatırım açığında azalma, özel kesim tasarruf yatırım açığında ise artış öngörülmektedir. </w:t>
      </w:r>
    </w:p>
    <w:p w:rsidR="005218EF" w:rsidRPr="00585E68" w:rsidRDefault="008E6992" w:rsidP="0010769B">
      <w:pPr>
        <w:tabs>
          <w:tab w:val="left" w:pos="567"/>
        </w:tabs>
        <w:spacing w:after="120" w:line="240" w:lineRule="auto"/>
        <w:jc w:val="both"/>
        <w:rPr>
          <w:rFonts w:ascii="Arial" w:hAnsi="Arial" w:cs="Arial"/>
          <w:b/>
          <w:sz w:val="24"/>
          <w:szCs w:val="24"/>
        </w:rPr>
      </w:pPr>
      <w:r>
        <w:rPr>
          <w:rFonts w:ascii="Arial" w:hAnsi="Arial" w:cs="Arial"/>
          <w:b/>
          <w:sz w:val="24"/>
          <w:szCs w:val="24"/>
        </w:rPr>
        <w:tab/>
      </w:r>
      <w:r w:rsidR="00AE0CC7" w:rsidRPr="00585E68">
        <w:rPr>
          <w:rFonts w:ascii="Arial" w:hAnsi="Arial" w:cs="Arial"/>
          <w:b/>
          <w:sz w:val="24"/>
          <w:szCs w:val="24"/>
        </w:rPr>
        <w:t>2. Kamu Maliyesi</w:t>
      </w:r>
    </w:p>
    <w:p w:rsidR="00FA62B9" w:rsidRPr="00585E68" w:rsidRDefault="00510C9E"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Pr>
          <w:rFonts w:ascii="Arial" w:hAnsi="Arial" w:cs="Arial"/>
          <w:sz w:val="24"/>
          <w:szCs w:val="24"/>
          <w:lang w:val="tr-TR"/>
        </w:rPr>
        <w:t>Kamu</w:t>
      </w:r>
      <w:r w:rsidR="00FA62B9" w:rsidRPr="00585E68">
        <w:rPr>
          <w:rFonts w:ascii="Arial" w:hAnsi="Arial" w:cs="Arial"/>
          <w:sz w:val="24"/>
          <w:szCs w:val="24"/>
        </w:rPr>
        <w:t xml:space="preserve"> kesimi açığının </w:t>
      </w:r>
      <w:proofErr w:type="spellStart"/>
      <w:r w:rsidR="00FA62B9" w:rsidRPr="00585E68">
        <w:rPr>
          <w:rFonts w:ascii="Arial" w:hAnsi="Arial" w:cs="Arial"/>
          <w:sz w:val="24"/>
          <w:szCs w:val="24"/>
        </w:rPr>
        <w:t>GSYH’ya</w:t>
      </w:r>
      <w:proofErr w:type="spellEnd"/>
      <w:r w:rsidR="00FA62B9" w:rsidRPr="00585E68">
        <w:rPr>
          <w:rFonts w:ascii="Arial" w:hAnsi="Arial" w:cs="Arial"/>
          <w:sz w:val="24"/>
          <w:szCs w:val="24"/>
        </w:rPr>
        <w:t xml:space="preserve"> oranı</w:t>
      </w:r>
      <w:r w:rsidR="000B5882">
        <w:rPr>
          <w:rFonts w:ascii="Arial" w:hAnsi="Arial" w:cs="Arial"/>
          <w:sz w:val="24"/>
          <w:szCs w:val="24"/>
          <w:lang w:val="tr-TR"/>
        </w:rPr>
        <w:t>nın</w:t>
      </w:r>
      <w:r w:rsidR="00FA62B9" w:rsidRPr="00585E68">
        <w:rPr>
          <w:rFonts w:ascii="Arial" w:hAnsi="Arial" w:cs="Arial"/>
          <w:sz w:val="24"/>
          <w:szCs w:val="24"/>
        </w:rPr>
        <w:t xml:space="preserve"> </w:t>
      </w:r>
      <w:r w:rsidR="000B5882" w:rsidRPr="00585E68">
        <w:rPr>
          <w:rFonts w:ascii="Arial" w:hAnsi="Arial" w:cs="Arial"/>
          <w:sz w:val="24"/>
          <w:szCs w:val="24"/>
        </w:rPr>
        <w:t>201</w:t>
      </w:r>
      <w:r w:rsidR="000B5882" w:rsidRPr="00585E68">
        <w:rPr>
          <w:rFonts w:ascii="Arial" w:hAnsi="Arial" w:cs="Arial"/>
          <w:sz w:val="24"/>
          <w:szCs w:val="24"/>
          <w:lang w:val="tr-TR"/>
        </w:rPr>
        <w:t>5</w:t>
      </w:r>
      <w:r w:rsidR="000B5882" w:rsidRPr="00585E68">
        <w:rPr>
          <w:rFonts w:ascii="Arial" w:hAnsi="Arial" w:cs="Arial"/>
          <w:sz w:val="24"/>
          <w:szCs w:val="24"/>
        </w:rPr>
        <w:t xml:space="preserve"> yılı sonunda yüzde </w:t>
      </w:r>
      <w:r w:rsidR="000B5882">
        <w:rPr>
          <w:rFonts w:ascii="Arial" w:hAnsi="Arial" w:cs="Arial"/>
          <w:sz w:val="24"/>
          <w:szCs w:val="24"/>
          <w:lang w:val="tr-TR"/>
        </w:rPr>
        <w:t>0,4’e düşmesi</w:t>
      </w:r>
      <w:r w:rsidR="000B5882" w:rsidRPr="00585E68">
        <w:rPr>
          <w:rFonts w:ascii="Arial" w:hAnsi="Arial" w:cs="Arial"/>
          <w:sz w:val="24"/>
          <w:szCs w:val="24"/>
        </w:rPr>
        <w:t xml:space="preserve"> </w:t>
      </w:r>
      <w:r w:rsidR="000B5882">
        <w:rPr>
          <w:rFonts w:ascii="Arial" w:hAnsi="Arial" w:cs="Arial"/>
          <w:sz w:val="24"/>
          <w:szCs w:val="24"/>
          <w:lang w:val="tr-TR"/>
        </w:rPr>
        <w:t xml:space="preserve">ve </w:t>
      </w:r>
      <w:r w:rsidR="00FA62B9" w:rsidRPr="00585E68">
        <w:rPr>
          <w:rFonts w:ascii="Arial" w:hAnsi="Arial" w:cs="Arial"/>
          <w:sz w:val="24"/>
          <w:szCs w:val="24"/>
        </w:rPr>
        <w:t>Program dönemi sonunda yüzde 0,1 fazlaya dönmesi hedeflenmektedir.</w:t>
      </w:r>
    </w:p>
    <w:p w:rsidR="00FA62B9" w:rsidRPr="00585E68" w:rsidRDefault="00417E0F"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Pr>
          <w:rFonts w:ascii="Arial" w:hAnsi="Arial" w:cs="Arial"/>
          <w:sz w:val="24"/>
          <w:szCs w:val="24"/>
          <w:lang w:val="tr-TR"/>
        </w:rPr>
        <w:t xml:space="preserve">Benzer şekilde, </w:t>
      </w:r>
      <w:r w:rsidR="00205C5C" w:rsidRPr="00585E68">
        <w:rPr>
          <w:rFonts w:ascii="Arial" w:hAnsi="Arial" w:cs="Arial"/>
          <w:sz w:val="24"/>
          <w:szCs w:val="24"/>
        </w:rPr>
        <w:t>201</w:t>
      </w:r>
      <w:r w:rsidR="00205C5C" w:rsidRPr="00585E68">
        <w:rPr>
          <w:rFonts w:ascii="Arial" w:hAnsi="Arial" w:cs="Arial"/>
          <w:sz w:val="24"/>
          <w:szCs w:val="24"/>
          <w:lang w:val="tr-TR"/>
        </w:rPr>
        <w:t>5</w:t>
      </w:r>
      <w:r w:rsidR="00205C5C" w:rsidRPr="00585E68">
        <w:rPr>
          <w:rFonts w:ascii="Arial" w:hAnsi="Arial" w:cs="Arial"/>
          <w:sz w:val="24"/>
          <w:szCs w:val="24"/>
        </w:rPr>
        <w:t xml:space="preserve"> </w:t>
      </w:r>
      <w:r w:rsidR="00FA62B9" w:rsidRPr="00585E68">
        <w:rPr>
          <w:rFonts w:ascii="Arial" w:hAnsi="Arial" w:cs="Arial"/>
          <w:sz w:val="24"/>
          <w:szCs w:val="24"/>
        </w:rPr>
        <w:t xml:space="preserve">yılı sonunda yüzde </w:t>
      </w:r>
      <w:r w:rsidR="00205C5C" w:rsidRPr="00585E68">
        <w:rPr>
          <w:rFonts w:ascii="Arial" w:hAnsi="Arial" w:cs="Arial"/>
          <w:sz w:val="24"/>
          <w:szCs w:val="24"/>
          <w:lang w:val="tr-TR"/>
        </w:rPr>
        <w:t>0,5</w:t>
      </w:r>
      <w:r w:rsidR="00FA62B9" w:rsidRPr="00585E68">
        <w:rPr>
          <w:rFonts w:ascii="Arial" w:hAnsi="Arial" w:cs="Arial"/>
          <w:sz w:val="24"/>
          <w:szCs w:val="24"/>
        </w:rPr>
        <w:t xml:space="preserve"> oranında açık vermesi öngörülen genel devlet dengesinin 2017 yılı sonunda yüzde 0,1 fazla vermesi hedeflenmektedir.</w:t>
      </w:r>
    </w:p>
    <w:p w:rsidR="00FA62B9" w:rsidRPr="00585E68" w:rsidRDefault="00205C5C"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201</w:t>
      </w:r>
      <w:r w:rsidRPr="00585E68">
        <w:rPr>
          <w:rFonts w:ascii="Arial" w:hAnsi="Arial" w:cs="Arial"/>
          <w:sz w:val="24"/>
          <w:szCs w:val="24"/>
          <w:lang w:val="tr-TR"/>
        </w:rPr>
        <w:t>5</w:t>
      </w:r>
      <w:r w:rsidRPr="00585E68">
        <w:rPr>
          <w:rFonts w:ascii="Arial" w:hAnsi="Arial" w:cs="Arial"/>
          <w:sz w:val="24"/>
          <w:szCs w:val="24"/>
        </w:rPr>
        <w:t xml:space="preserve"> </w:t>
      </w:r>
      <w:r w:rsidR="00FA62B9" w:rsidRPr="00585E68">
        <w:rPr>
          <w:rFonts w:ascii="Arial" w:hAnsi="Arial" w:cs="Arial"/>
          <w:sz w:val="24"/>
          <w:szCs w:val="24"/>
        </w:rPr>
        <w:t xml:space="preserve">yılında </w:t>
      </w:r>
      <w:proofErr w:type="spellStart"/>
      <w:r w:rsidR="00FA62B9" w:rsidRPr="00585E68">
        <w:rPr>
          <w:rFonts w:ascii="Arial" w:hAnsi="Arial" w:cs="Arial"/>
          <w:sz w:val="24"/>
          <w:szCs w:val="24"/>
        </w:rPr>
        <w:t>GSYH’ya</w:t>
      </w:r>
      <w:proofErr w:type="spellEnd"/>
      <w:r w:rsidR="00FA62B9" w:rsidRPr="00585E68">
        <w:rPr>
          <w:rFonts w:ascii="Arial" w:hAnsi="Arial" w:cs="Arial"/>
          <w:sz w:val="24"/>
          <w:szCs w:val="24"/>
        </w:rPr>
        <w:t xml:space="preserve"> oran olarak yüzde </w:t>
      </w:r>
      <w:r w:rsidRPr="00585E68">
        <w:rPr>
          <w:rFonts w:ascii="Arial" w:hAnsi="Arial" w:cs="Arial"/>
          <w:sz w:val="24"/>
          <w:szCs w:val="24"/>
          <w:lang w:val="tr-TR"/>
        </w:rPr>
        <w:t>1,2</w:t>
      </w:r>
      <w:r w:rsidR="00FA62B9" w:rsidRPr="00585E68">
        <w:rPr>
          <w:rFonts w:ascii="Arial" w:hAnsi="Arial" w:cs="Arial"/>
          <w:sz w:val="24"/>
          <w:szCs w:val="24"/>
        </w:rPr>
        <w:t xml:space="preserve"> düzeyinde olması beklenen program tanımlı kamu kesimi fazlasının sürekli artarak Program dönemi sonunda yüzde 1,8’e yükselmesi öngörülmektedir.</w:t>
      </w:r>
    </w:p>
    <w:p w:rsidR="00FA62B9" w:rsidRPr="00585E68" w:rsidRDefault="00FA62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 xml:space="preserve">Genel devlet toplam harcama ve gelirlerinin </w:t>
      </w:r>
      <w:proofErr w:type="spellStart"/>
      <w:r w:rsidRPr="00585E68">
        <w:rPr>
          <w:rFonts w:ascii="Arial" w:hAnsi="Arial" w:cs="Arial"/>
          <w:sz w:val="24"/>
          <w:szCs w:val="24"/>
        </w:rPr>
        <w:t>GSYH’ya</w:t>
      </w:r>
      <w:proofErr w:type="spellEnd"/>
      <w:r w:rsidRPr="00585E68">
        <w:rPr>
          <w:rFonts w:ascii="Arial" w:hAnsi="Arial" w:cs="Arial"/>
          <w:sz w:val="24"/>
          <w:szCs w:val="24"/>
        </w:rPr>
        <w:t xml:space="preserve"> oranlarının, </w:t>
      </w:r>
      <w:r w:rsidR="00205C5C" w:rsidRPr="00585E68">
        <w:rPr>
          <w:rFonts w:ascii="Arial" w:hAnsi="Arial" w:cs="Arial"/>
          <w:sz w:val="24"/>
          <w:szCs w:val="24"/>
        </w:rPr>
        <w:t>201</w:t>
      </w:r>
      <w:r w:rsidR="00205C5C" w:rsidRPr="00585E68">
        <w:rPr>
          <w:rFonts w:ascii="Arial" w:hAnsi="Arial" w:cs="Arial"/>
          <w:sz w:val="24"/>
          <w:szCs w:val="24"/>
          <w:lang w:val="tr-TR"/>
        </w:rPr>
        <w:t>5</w:t>
      </w:r>
      <w:r w:rsidR="00205C5C" w:rsidRPr="00585E68">
        <w:rPr>
          <w:rFonts w:ascii="Arial" w:hAnsi="Arial" w:cs="Arial"/>
          <w:sz w:val="24"/>
          <w:szCs w:val="24"/>
        </w:rPr>
        <w:t xml:space="preserve"> </w:t>
      </w:r>
      <w:r w:rsidRPr="00585E68">
        <w:rPr>
          <w:rFonts w:ascii="Arial" w:hAnsi="Arial" w:cs="Arial"/>
          <w:sz w:val="24"/>
          <w:szCs w:val="24"/>
        </w:rPr>
        <w:t xml:space="preserve">yılındaki sırasıyla yüzde </w:t>
      </w:r>
      <w:r w:rsidR="00417E0F">
        <w:rPr>
          <w:rFonts w:ascii="Arial" w:hAnsi="Arial" w:cs="Arial"/>
          <w:sz w:val="24"/>
          <w:szCs w:val="24"/>
          <w:lang w:val="tr-TR"/>
        </w:rPr>
        <w:t>38,7</w:t>
      </w:r>
      <w:r w:rsidRPr="0010769B">
        <w:rPr>
          <w:rFonts w:ascii="Arial" w:hAnsi="Arial" w:cs="Arial"/>
          <w:sz w:val="24"/>
          <w:szCs w:val="24"/>
        </w:rPr>
        <w:t xml:space="preserve"> ile yüzde </w:t>
      </w:r>
      <w:r w:rsidR="00417E0F">
        <w:rPr>
          <w:rFonts w:ascii="Arial" w:hAnsi="Arial" w:cs="Arial"/>
          <w:sz w:val="24"/>
          <w:szCs w:val="24"/>
          <w:lang w:val="tr-TR"/>
        </w:rPr>
        <w:t>38,2</w:t>
      </w:r>
      <w:r w:rsidR="00417E0F" w:rsidRPr="00585E68">
        <w:rPr>
          <w:rFonts w:ascii="Arial" w:hAnsi="Arial" w:cs="Arial"/>
          <w:sz w:val="24"/>
          <w:szCs w:val="24"/>
        </w:rPr>
        <w:t xml:space="preserve"> </w:t>
      </w:r>
      <w:r w:rsidRPr="00585E68">
        <w:rPr>
          <w:rFonts w:ascii="Arial" w:hAnsi="Arial" w:cs="Arial"/>
          <w:sz w:val="24"/>
          <w:szCs w:val="24"/>
        </w:rPr>
        <w:t>olan seviyelerinden Program dönemi sonunda kademeli bir azalışla yüzde 37,2 ve yüzde 37,</w:t>
      </w:r>
      <w:r w:rsidR="00417E0F">
        <w:rPr>
          <w:rFonts w:ascii="Arial" w:hAnsi="Arial" w:cs="Arial"/>
          <w:sz w:val="24"/>
          <w:szCs w:val="24"/>
          <w:lang w:val="tr-TR"/>
        </w:rPr>
        <w:t>3</w:t>
      </w:r>
      <w:r w:rsidR="00417E0F">
        <w:rPr>
          <w:rFonts w:ascii="Arial" w:hAnsi="Arial" w:cs="Arial"/>
          <w:sz w:val="24"/>
          <w:szCs w:val="24"/>
        </w:rPr>
        <w:t>’e</w:t>
      </w:r>
      <w:r w:rsidR="00417E0F" w:rsidRPr="00585E68">
        <w:rPr>
          <w:rFonts w:ascii="Arial" w:hAnsi="Arial" w:cs="Arial"/>
          <w:sz w:val="24"/>
          <w:szCs w:val="24"/>
        </w:rPr>
        <w:t xml:space="preserve"> </w:t>
      </w:r>
      <w:r w:rsidRPr="00585E68">
        <w:rPr>
          <w:rFonts w:ascii="Arial" w:hAnsi="Arial" w:cs="Arial"/>
          <w:sz w:val="24"/>
          <w:szCs w:val="24"/>
        </w:rPr>
        <w:t>gerilemesi beklenmektedir.</w:t>
      </w:r>
    </w:p>
    <w:p w:rsidR="00FA62B9" w:rsidRPr="00585E68" w:rsidRDefault="00413045"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Pr>
          <w:rFonts w:ascii="Arial" w:hAnsi="Arial" w:cs="Arial"/>
          <w:sz w:val="24"/>
          <w:szCs w:val="24"/>
          <w:lang w:val="tr-TR"/>
        </w:rPr>
        <w:t>Sosyal güvenlik prim yapılandırması nedeniyle</w:t>
      </w:r>
      <w:r w:rsidR="003A3435">
        <w:rPr>
          <w:rFonts w:ascii="Arial" w:hAnsi="Arial" w:cs="Arial"/>
          <w:sz w:val="24"/>
          <w:szCs w:val="24"/>
          <w:lang w:val="tr-TR"/>
        </w:rPr>
        <w:t xml:space="preserve"> </w:t>
      </w:r>
      <w:r w:rsidR="00205C5C" w:rsidRPr="00585E68">
        <w:rPr>
          <w:rFonts w:ascii="Arial" w:hAnsi="Arial" w:cs="Arial"/>
          <w:sz w:val="24"/>
          <w:szCs w:val="24"/>
        </w:rPr>
        <w:t>201</w:t>
      </w:r>
      <w:r w:rsidR="00205C5C" w:rsidRPr="00585E68">
        <w:rPr>
          <w:rFonts w:ascii="Arial" w:hAnsi="Arial" w:cs="Arial"/>
          <w:sz w:val="24"/>
          <w:szCs w:val="24"/>
          <w:lang w:val="tr-TR"/>
        </w:rPr>
        <w:t>5</w:t>
      </w:r>
      <w:r w:rsidR="00205C5C" w:rsidRPr="00585E68">
        <w:rPr>
          <w:rFonts w:ascii="Arial" w:hAnsi="Arial" w:cs="Arial"/>
          <w:sz w:val="24"/>
          <w:szCs w:val="24"/>
        </w:rPr>
        <w:t xml:space="preserve"> </w:t>
      </w:r>
      <w:r w:rsidR="00FA62B9" w:rsidRPr="00585E68">
        <w:rPr>
          <w:rFonts w:ascii="Arial" w:hAnsi="Arial" w:cs="Arial"/>
          <w:sz w:val="24"/>
          <w:szCs w:val="24"/>
        </w:rPr>
        <w:t xml:space="preserve">yılında </w:t>
      </w:r>
      <w:r w:rsidR="003A3435">
        <w:rPr>
          <w:rFonts w:ascii="Arial" w:hAnsi="Arial" w:cs="Arial"/>
          <w:sz w:val="24"/>
          <w:szCs w:val="24"/>
          <w:lang w:val="tr-TR"/>
        </w:rPr>
        <w:t xml:space="preserve">bir miktar yükselen </w:t>
      </w:r>
      <w:r w:rsidR="00FA62B9" w:rsidRPr="00585E68">
        <w:rPr>
          <w:rFonts w:ascii="Arial" w:hAnsi="Arial" w:cs="Arial"/>
          <w:sz w:val="24"/>
          <w:szCs w:val="24"/>
        </w:rPr>
        <w:t xml:space="preserve">vergi yükünün tedrici bir azalışla Program dönemi sonunda yüzde </w:t>
      </w:r>
      <w:r w:rsidR="00516BEA">
        <w:rPr>
          <w:rFonts w:ascii="Arial" w:hAnsi="Arial" w:cs="Arial"/>
          <w:sz w:val="24"/>
          <w:szCs w:val="24"/>
          <w:lang w:val="tr-TR"/>
        </w:rPr>
        <w:t>28,2</w:t>
      </w:r>
      <w:r w:rsidR="00516BEA" w:rsidRPr="0010769B">
        <w:rPr>
          <w:rFonts w:ascii="Arial" w:hAnsi="Arial" w:cs="Arial"/>
          <w:sz w:val="24"/>
          <w:szCs w:val="24"/>
        </w:rPr>
        <w:t>’</w:t>
      </w:r>
      <w:r w:rsidR="00516BEA">
        <w:rPr>
          <w:rFonts w:ascii="Arial" w:hAnsi="Arial" w:cs="Arial"/>
          <w:sz w:val="24"/>
          <w:szCs w:val="24"/>
          <w:lang w:val="tr-TR"/>
        </w:rPr>
        <w:t>y</w:t>
      </w:r>
      <w:r w:rsidR="00516BEA" w:rsidRPr="0010769B">
        <w:rPr>
          <w:rFonts w:ascii="Arial" w:hAnsi="Arial" w:cs="Arial"/>
          <w:sz w:val="24"/>
          <w:szCs w:val="24"/>
        </w:rPr>
        <w:t xml:space="preserve">e </w:t>
      </w:r>
      <w:r w:rsidR="00FA62B9" w:rsidRPr="0010769B">
        <w:rPr>
          <w:rFonts w:ascii="Arial" w:hAnsi="Arial" w:cs="Arial"/>
          <w:sz w:val="24"/>
          <w:szCs w:val="24"/>
        </w:rPr>
        <w:t>gerile</w:t>
      </w:r>
      <w:r w:rsidR="008A5066">
        <w:rPr>
          <w:rFonts w:ascii="Arial" w:hAnsi="Arial" w:cs="Arial"/>
          <w:sz w:val="24"/>
          <w:szCs w:val="24"/>
          <w:lang w:val="tr-TR"/>
        </w:rPr>
        <w:t>mesi</w:t>
      </w:r>
      <w:r w:rsidR="00FA62B9" w:rsidRPr="0010769B">
        <w:rPr>
          <w:rFonts w:ascii="Arial" w:hAnsi="Arial" w:cs="Arial"/>
          <w:sz w:val="24"/>
          <w:szCs w:val="24"/>
        </w:rPr>
        <w:t xml:space="preserve"> öngörülmektedir.</w:t>
      </w:r>
    </w:p>
    <w:p w:rsidR="00FA62B9" w:rsidRPr="00585E68" w:rsidRDefault="00FA62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proofErr w:type="spellStart"/>
      <w:r w:rsidRPr="00585E68">
        <w:rPr>
          <w:rFonts w:ascii="Arial" w:hAnsi="Arial" w:cs="Arial"/>
          <w:sz w:val="24"/>
          <w:szCs w:val="24"/>
        </w:rPr>
        <w:t>GSYH’ya</w:t>
      </w:r>
      <w:proofErr w:type="spellEnd"/>
      <w:r w:rsidRPr="00585E68">
        <w:rPr>
          <w:rFonts w:ascii="Arial" w:hAnsi="Arial" w:cs="Arial"/>
          <w:sz w:val="24"/>
          <w:szCs w:val="24"/>
        </w:rPr>
        <w:t xml:space="preserve"> oran</w:t>
      </w:r>
      <w:r w:rsidR="00745D0E">
        <w:rPr>
          <w:rFonts w:ascii="Arial" w:hAnsi="Arial" w:cs="Arial"/>
          <w:sz w:val="24"/>
          <w:szCs w:val="24"/>
          <w:lang w:val="tr-TR"/>
        </w:rPr>
        <w:t>la</w:t>
      </w:r>
      <w:r w:rsidRPr="00585E68">
        <w:rPr>
          <w:rFonts w:ascii="Arial" w:hAnsi="Arial" w:cs="Arial"/>
          <w:sz w:val="24"/>
          <w:szCs w:val="24"/>
        </w:rPr>
        <w:t xml:space="preserve">, </w:t>
      </w:r>
      <w:r w:rsidR="00205C5C" w:rsidRPr="00585E68">
        <w:rPr>
          <w:rFonts w:ascii="Arial" w:hAnsi="Arial" w:cs="Arial"/>
          <w:sz w:val="24"/>
          <w:szCs w:val="24"/>
        </w:rPr>
        <w:t>201</w:t>
      </w:r>
      <w:r w:rsidR="00205C5C" w:rsidRPr="00585E68">
        <w:rPr>
          <w:rFonts w:ascii="Arial" w:hAnsi="Arial" w:cs="Arial"/>
          <w:sz w:val="24"/>
          <w:szCs w:val="24"/>
          <w:lang w:val="tr-TR"/>
        </w:rPr>
        <w:t>5</w:t>
      </w:r>
      <w:r w:rsidR="00205C5C" w:rsidRPr="00585E68">
        <w:rPr>
          <w:rFonts w:ascii="Arial" w:hAnsi="Arial" w:cs="Arial"/>
          <w:sz w:val="24"/>
          <w:szCs w:val="24"/>
        </w:rPr>
        <w:t xml:space="preserve"> </w:t>
      </w:r>
      <w:r w:rsidRPr="00585E68">
        <w:rPr>
          <w:rFonts w:ascii="Arial" w:hAnsi="Arial" w:cs="Arial"/>
          <w:sz w:val="24"/>
          <w:szCs w:val="24"/>
        </w:rPr>
        <w:t xml:space="preserve">yılında yüzde </w:t>
      </w:r>
      <w:r w:rsidR="006C5B1A">
        <w:rPr>
          <w:rFonts w:ascii="Arial" w:hAnsi="Arial" w:cs="Arial"/>
          <w:sz w:val="24"/>
          <w:szCs w:val="24"/>
          <w:lang w:val="tr-TR"/>
        </w:rPr>
        <w:t>31,8</w:t>
      </w:r>
      <w:r w:rsidR="006C5B1A" w:rsidRPr="00585E68">
        <w:rPr>
          <w:rFonts w:ascii="Arial" w:hAnsi="Arial" w:cs="Arial"/>
          <w:sz w:val="24"/>
          <w:szCs w:val="24"/>
        </w:rPr>
        <w:t xml:space="preserve"> </w:t>
      </w:r>
      <w:r w:rsidR="00745D0E">
        <w:rPr>
          <w:rFonts w:ascii="Arial" w:hAnsi="Arial" w:cs="Arial"/>
          <w:sz w:val="24"/>
          <w:szCs w:val="24"/>
          <w:lang w:val="tr-TR"/>
        </w:rPr>
        <w:t>olarak</w:t>
      </w:r>
      <w:r w:rsidR="00745D0E" w:rsidRPr="00585E68">
        <w:rPr>
          <w:rFonts w:ascii="Arial" w:hAnsi="Arial" w:cs="Arial"/>
          <w:sz w:val="24"/>
          <w:szCs w:val="24"/>
        </w:rPr>
        <w:t xml:space="preserve"> </w:t>
      </w:r>
      <w:r w:rsidRPr="00585E68">
        <w:rPr>
          <w:rFonts w:ascii="Arial" w:hAnsi="Arial" w:cs="Arial"/>
          <w:sz w:val="24"/>
          <w:szCs w:val="24"/>
        </w:rPr>
        <w:t xml:space="preserve">gerçekleşmesi beklenen AB tanımlı genel yönetim nominal borç stokunun Program dönemi sonunda yüzde </w:t>
      </w:r>
      <w:r w:rsidR="006C5B1A">
        <w:rPr>
          <w:rFonts w:ascii="Arial" w:hAnsi="Arial" w:cs="Arial"/>
          <w:sz w:val="24"/>
          <w:szCs w:val="24"/>
          <w:lang w:val="tr-TR"/>
        </w:rPr>
        <w:t>28,5’e</w:t>
      </w:r>
      <w:r w:rsidR="006C5B1A" w:rsidRPr="00585E68">
        <w:rPr>
          <w:rFonts w:ascii="Arial" w:hAnsi="Arial" w:cs="Arial"/>
          <w:sz w:val="24"/>
          <w:szCs w:val="24"/>
        </w:rPr>
        <w:t xml:space="preserve"> </w:t>
      </w:r>
      <w:r w:rsidR="00745D0E">
        <w:rPr>
          <w:rFonts w:ascii="Arial" w:hAnsi="Arial" w:cs="Arial"/>
          <w:sz w:val="24"/>
          <w:szCs w:val="24"/>
          <w:lang w:val="tr-TR"/>
        </w:rPr>
        <w:t>düşürülmesi hedeflenmektedir.</w:t>
      </w:r>
    </w:p>
    <w:p w:rsidR="0016579D" w:rsidRPr="00585E68" w:rsidRDefault="008E6992" w:rsidP="0010769B">
      <w:pPr>
        <w:tabs>
          <w:tab w:val="left" w:pos="567"/>
        </w:tabs>
        <w:spacing w:after="120" w:line="240" w:lineRule="auto"/>
        <w:jc w:val="both"/>
        <w:rPr>
          <w:rFonts w:ascii="Arial" w:hAnsi="Arial" w:cs="Arial"/>
          <w:b/>
          <w:sz w:val="24"/>
          <w:szCs w:val="24"/>
        </w:rPr>
      </w:pPr>
      <w:r>
        <w:rPr>
          <w:rFonts w:ascii="Arial" w:hAnsi="Arial" w:cs="Arial"/>
          <w:b/>
          <w:sz w:val="24"/>
          <w:szCs w:val="24"/>
        </w:rPr>
        <w:tab/>
      </w:r>
      <w:r w:rsidR="0016579D" w:rsidRPr="00585E68">
        <w:rPr>
          <w:rFonts w:ascii="Arial" w:hAnsi="Arial" w:cs="Arial"/>
          <w:b/>
          <w:sz w:val="24"/>
          <w:szCs w:val="24"/>
        </w:rPr>
        <w:t>3. Ödemeler Dengesi</w:t>
      </w:r>
    </w:p>
    <w:p w:rsidR="0016579D" w:rsidRPr="00585E68" w:rsidRDefault="0016579D"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Program döneminde yıllık ortalamada reel olarak ihracatın yüzde 8,4, ithalatın ise yüzde 7,6 oranında artacağı tahmin edilmektedir.</w:t>
      </w:r>
    </w:p>
    <w:p w:rsidR="0016579D" w:rsidRPr="00585E68" w:rsidRDefault="00992BB4"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201</w:t>
      </w:r>
      <w:r w:rsidRPr="00585E68">
        <w:rPr>
          <w:rFonts w:ascii="Arial" w:hAnsi="Arial" w:cs="Arial"/>
          <w:sz w:val="24"/>
          <w:szCs w:val="24"/>
          <w:lang w:val="tr-TR"/>
        </w:rPr>
        <w:t>5</w:t>
      </w:r>
      <w:r w:rsidRPr="00585E68">
        <w:rPr>
          <w:rFonts w:ascii="Arial" w:hAnsi="Arial" w:cs="Arial"/>
          <w:sz w:val="24"/>
          <w:szCs w:val="24"/>
        </w:rPr>
        <w:t xml:space="preserve"> </w:t>
      </w:r>
      <w:r w:rsidR="0016579D" w:rsidRPr="00585E68">
        <w:rPr>
          <w:rFonts w:ascii="Arial" w:hAnsi="Arial" w:cs="Arial"/>
          <w:sz w:val="24"/>
          <w:szCs w:val="24"/>
        </w:rPr>
        <w:t xml:space="preserve">yılında </w:t>
      </w:r>
      <w:r w:rsidR="00871A3E" w:rsidRPr="00585E68">
        <w:rPr>
          <w:rFonts w:ascii="Arial" w:hAnsi="Arial" w:cs="Arial"/>
          <w:sz w:val="24"/>
          <w:szCs w:val="24"/>
          <w:lang w:val="tr-TR"/>
        </w:rPr>
        <w:t>173</w:t>
      </w:r>
      <w:r w:rsidR="0016579D" w:rsidRPr="00585E68">
        <w:rPr>
          <w:rFonts w:ascii="Arial" w:hAnsi="Arial" w:cs="Arial"/>
          <w:sz w:val="24"/>
          <w:szCs w:val="24"/>
        </w:rPr>
        <w:t xml:space="preserve"> milyar dolar olması beklenen ihracatın dönem sonunda 203,4 milyar dolara, </w:t>
      </w:r>
      <w:r w:rsidR="00871A3E" w:rsidRPr="00585E68">
        <w:rPr>
          <w:rFonts w:ascii="Arial" w:hAnsi="Arial" w:cs="Arial"/>
          <w:sz w:val="24"/>
          <w:szCs w:val="24"/>
          <w:lang w:val="tr-TR"/>
        </w:rPr>
        <w:t>258</w:t>
      </w:r>
      <w:r w:rsidR="00871A3E" w:rsidRPr="00585E68">
        <w:rPr>
          <w:rFonts w:ascii="Arial" w:hAnsi="Arial" w:cs="Arial"/>
          <w:sz w:val="24"/>
          <w:szCs w:val="24"/>
        </w:rPr>
        <w:t xml:space="preserve"> </w:t>
      </w:r>
      <w:r w:rsidR="0016579D" w:rsidRPr="00585E68">
        <w:rPr>
          <w:rFonts w:ascii="Arial" w:hAnsi="Arial" w:cs="Arial"/>
          <w:sz w:val="24"/>
          <w:szCs w:val="24"/>
        </w:rPr>
        <w:t>milyar dolar olması beklenen ithalatın dönem sonunda 297,5 milyar dolara ulaşacağı tahmin edilmektedir. Böylece</w:t>
      </w:r>
      <w:r w:rsidR="00736E28">
        <w:rPr>
          <w:rFonts w:ascii="Arial" w:hAnsi="Arial" w:cs="Arial"/>
          <w:sz w:val="24"/>
          <w:szCs w:val="24"/>
          <w:lang w:val="tr-TR"/>
        </w:rPr>
        <w:t>,</w:t>
      </w:r>
      <w:r w:rsidR="0016579D" w:rsidRPr="00585E68">
        <w:rPr>
          <w:rFonts w:ascii="Arial" w:hAnsi="Arial" w:cs="Arial"/>
          <w:sz w:val="24"/>
          <w:szCs w:val="24"/>
        </w:rPr>
        <w:t xml:space="preserve"> </w:t>
      </w:r>
      <w:r w:rsidR="00871A3E" w:rsidRPr="00585E68">
        <w:rPr>
          <w:rFonts w:ascii="Arial" w:hAnsi="Arial" w:cs="Arial"/>
          <w:sz w:val="24"/>
          <w:szCs w:val="24"/>
        </w:rPr>
        <w:t>201</w:t>
      </w:r>
      <w:r w:rsidR="00871A3E" w:rsidRPr="00585E68">
        <w:rPr>
          <w:rFonts w:ascii="Arial" w:hAnsi="Arial" w:cs="Arial"/>
          <w:sz w:val="24"/>
          <w:szCs w:val="24"/>
          <w:lang w:val="tr-TR"/>
        </w:rPr>
        <w:t>5</w:t>
      </w:r>
      <w:r w:rsidR="00871A3E" w:rsidRPr="00585E68">
        <w:rPr>
          <w:rFonts w:ascii="Arial" w:hAnsi="Arial" w:cs="Arial"/>
          <w:sz w:val="24"/>
          <w:szCs w:val="24"/>
        </w:rPr>
        <w:t xml:space="preserve"> </w:t>
      </w:r>
      <w:r w:rsidR="0016579D" w:rsidRPr="00585E68">
        <w:rPr>
          <w:rFonts w:ascii="Arial" w:hAnsi="Arial" w:cs="Arial"/>
          <w:sz w:val="24"/>
          <w:szCs w:val="24"/>
        </w:rPr>
        <w:t xml:space="preserve">yılında </w:t>
      </w:r>
      <w:r w:rsidR="00871A3E" w:rsidRPr="00585E68">
        <w:rPr>
          <w:rFonts w:ascii="Arial" w:hAnsi="Arial" w:cs="Arial"/>
          <w:sz w:val="24"/>
          <w:szCs w:val="24"/>
          <w:lang w:val="tr-TR"/>
        </w:rPr>
        <w:t>85</w:t>
      </w:r>
      <w:r w:rsidR="0016579D" w:rsidRPr="00585E68">
        <w:rPr>
          <w:rFonts w:ascii="Arial" w:hAnsi="Arial" w:cs="Arial"/>
          <w:sz w:val="24"/>
          <w:szCs w:val="24"/>
        </w:rPr>
        <w:t xml:space="preserve"> milyar dolar olan dış ticaret açığı dönem sonunda 94,1 milyar dolara yükselecektir.</w:t>
      </w:r>
    </w:p>
    <w:p w:rsidR="0016579D" w:rsidRPr="00585E68" w:rsidRDefault="0016579D"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Program döneminde yurt içi tasarrufları artırmaya ve ekonominin üretim yapısının ithalata olan yüksek bağımlılığını azaltmaya yönelik politika önceliklerinin katkısıyla,</w:t>
      </w:r>
      <w:r w:rsidR="00E72384">
        <w:rPr>
          <w:rFonts w:ascii="Arial" w:hAnsi="Arial" w:cs="Arial"/>
          <w:sz w:val="24"/>
          <w:szCs w:val="24"/>
          <w:lang w:val="tr-TR"/>
        </w:rPr>
        <w:t xml:space="preserve"> büyümede öngörülen artışa rağmen, </w:t>
      </w:r>
      <w:r w:rsidR="00871A3E" w:rsidRPr="00585E68">
        <w:rPr>
          <w:rFonts w:ascii="Arial" w:hAnsi="Arial" w:cs="Arial"/>
          <w:sz w:val="24"/>
          <w:szCs w:val="24"/>
        </w:rPr>
        <w:t>201</w:t>
      </w:r>
      <w:r w:rsidR="00871A3E" w:rsidRPr="00585E68">
        <w:rPr>
          <w:rFonts w:ascii="Arial" w:hAnsi="Arial" w:cs="Arial"/>
          <w:sz w:val="24"/>
          <w:szCs w:val="24"/>
          <w:lang w:val="tr-TR"/>
        </w:rPr>
        <w:t>5</w:t>
      </w:r>
      <w:r w:rsidR="00871A3E" w:rsidRPr="00585E68">
        <w:rPr>
          <w:rFonts w:ascii="Arial" w:hAnsi="Arial" w:cs="Arial"/>
          <w:sz w:val="24"/>
          <w:szCs w:val="24"/>
        </w:rPr>
        <w:t xml:space="preserve"> </w:t>
      </w:r>
      <w:r w:rsidRPr="00585E68">
        <w:rPr>
          <w:rFonts w:ascii="Arial" w:hAnsi="Arial" w:cs="Arial"/>
          <w:sz w:val="24"/>
          <w:szCs w:val="24"/>
        </w:rPr>
        <w:t xml:space="preserve">yılında yüzde </w:t>
      </w:r>
      <w:r w:rsidR="00871A3E" w:rsidRPr="00585E68">
        <w:rPr>
          <w:rFonts w:ascii="Arial" w:hAnsi="Arial" w:cs="Arial"/>
          <w:sz w:val="24"/>
          <w:szCs w:val="24"/>
          <w:lang w:val="tr-TR"/>
        </w:rPr>
        <w:t>5,</w:t>
      </w:r>
      <w:r w:rsidR="005B45CC" w:rsidRPr="00585E68">
        <w:rPr>
          <w:rFonts w:ascii="Arial" w:hAnsi="Arial" w:cs="Arial"/>
          <w:sz w:val="24"/>
          <w:szCs w:val="24"/>
          <w:lang w:val="tr-TR"/>
        </w:rPr>
        <w:t>4</w:t>
      </w:r>
      <w:r w:rsidRPr="00585E68">
        <w:rPr>
          <w:rFonts w:ascii="Arial" w:hAnsi="Arial" w:cs="Arial"/>
          <w:sz w:val="24"/>
          <w:szCs w:val="24"/>
        </w:rPr>
        <w:t xml:space="preserve"> olarak gerçekleşmesi beklenen cari işlemler açığının </w:t>
      </w:r>
      <w:proofErr w:type="spellStart"/>
      <w:r w:rsidRPr="00585E68">
        <w:rPr>
          <w:rFonts w:ascii="Arial" w:hAnsi="Arial" w:cs="Arial"/>
          <w:sz w:val="24"/>
          <w:szCs w:val="24"/>
        </w:rPr>
        <w:t>GSYH’ya</w:t>
      </w:r>
      <w:proofErr w:type="spellEnd"/>
      <w:r w:rsidRPr="00585E68">
        <w:rPr>
          <w:rFonts w:ascii="Arial" w:hAnsi="Arial" w:cs="Arial"/>
          <w:sz w:val="24"/>
          <w:szCs w:val="24"/>
        </w:rPr>
        <w:t xml:space="preserve"> oranının dönem sonunda yüzde 5,</w:t>
      </w:r>
      <w:r w:rsidR="00740B9D" w:rsidRPr="00585E68">
        <w:rPr>
          <w:rFonts w:ascii="Arial" w:hAnsi="Arial" w:cs="Arial"/>
          <w:sz w:val="24"/>
          <w:szCs w:val="24"/>
          <w:lang w:val="tr-TR"/>
        </w:rPr>
        <w:t>2</w:t>
      </w:r>
      <w:r w:rsidRPr="00585E68">
        <w:rPr>
          <w:rFonts w:ascii="Arial" w:hAnsi="Arial" w:cs="Arial"/>
          <w:sz w:val="24"/>
          <w:szCs w:val="24"/>
        </w:rPr>
        <w:t>’</w:t>
      </w:r>
      <w:r w:rsidR="00740B9D" w:rsidRPr="00585E68">
        <w:rPr>
          <w:rFonts w:ascii="Arial" w:hAnsi="Arial" w:cs="Arial"/>
          <w:sz w:val="24"/>
          <w:szCs w:val="24"/>
          <w:lang w:val="tr-TR"/>
        </w:rPr>
        <w:t>y</w:t>
      </w:r>
      <w:r w:rsidRPr="00585E68">
        <w:rPr>
          <w:rFonts w:ascii="Arial" w:hAnsi="Arial" w:cs="Arial"/>
          <w:sz w:val="24"/>
          <w:szCs w:val="24"/>
        </w:rPr>
        <w:t xml:space="preserve">e inmesi hedeflenmektedir. </w:t>
      </w:r>
    </w:p>
    <w:p w:rsidR="0016579D" w:rsidRPr="00585E68" w:rsidRDefault="005B45CC"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201</w:t>
      </w:r>
      <w:r w:rsidRPr="00585E68">
        <w:rPr>
          <w:rFonts w:ascii="Arial" w:hAnsi="Arial" w:cs="Arial"/>
          <w:sz w:val="24"/>
          <w:szCs w:val="24"/>
          <w:lang w:val="tr-TR"/>
        </w:rPr>
        <w:t>5</w:t>
      </w:r>
      <w:r w:rsidRPr="00585E68">
        <w:rPr>
          <w:rFonts w:ascii="Arial" w:hAnsi="Arial" w:cs="Arial"/>
          <w:sz w:val="24"/>
          <w:szCs w:val="24"/>
        </w:rPr>
        <w:t xml:space="preserve"> </w:t>
      </w:r>
      <w:r w:rsidR="0016579D" w:rsidRPr="00585E68">
        <w:rPr>
          <w:rFonts w:ascii="Arial" w:hAnsi="Arial" w:cs="Arial"/>
          <w:sz w:val="24"/>
          <w:szCs w:val="24"/>
        </w:rPr>
        <w:t xml:space="preserve">yılı sonunda </w:t>
      </w:r>
      <w:r w:rsidRPr="00585E68">
        <w:rPr>
          <w:rFonts w:ascii="Arial" w:hAnsi="Arial" w:cs="Arial"/>
          <w:sz w:val="24"/>
          <w:szCs w:val="24"/>
          <w:lang w:val="tr-TR"/>
        </w:rPr>
        <w:t>57,3</w:t>
      </w:r>
      <w:r w:rsidR="0016579D" w:rsidRPr="00585E68">
        <w:rPr>
          <w:rFonts w:ascii="Arial" w:hAnsi="Arial" w:cs="Arial"/>
          <w:sz w:val="24"/>
          <w:szCs w:val="24"/>
        </w:rPr>
        <w:t xml:space="preserve"> milyar dolar olacağı tahmin edilen enerji ithalatının, büyüme performansı ve petrol fiyatlarındaki beklentilere göre dönem sonunda 63,9 milyar dolara yükselmesi beklenmektedir.</w:t>
      </w:r>
    </w:p>
    <w:p w:rsidR="0016579D" w:rsidRPr="00585E68" w:rsidRDefault="005B45CC"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201</w:t>
      </w:r>
      <w:r w:rsidRPr="00585E68">
        <w:rPr>
          <w:rFonts w:ascii="Arial" w:hAnsi="Arial" w:cs="Arial"/>
          <w:sz w:val="24"/>
          <w:szCs w:val="24"/>
          <w:lang w:val="tr-TR"/>
        </w:rPr>
        <w:t>5</w:t>
      </w:r>
      <w:r w:rsidRPr="00585E68">
        <w:rPr>
          <w:rFonts w:ascii="Arial" w:hAnsi="Arial" w:cs="Arial"/>
          <w:sz w:val="24"/>
          <w:szCs w:val="24"/>
        </w:rPr>
        <w:t xml:space="preserve"> </w:t>
      </w:r>
      <w:r w:rsidR="0016579D" w:rsidRPr="00585E68">
        <w:rPr>
          <w:rFonts w:ascii="Arial" w:hAnsi="Arial" w:cs="Arial"/>
          <w:sz w:val="24"/>
          <w:szCs w:val="24"/>
        </w:rPr>
        <w:t xml:space="preserve">yılında </w:t>
      </w:r>
      <w:r w:rsidRPr="00585E68">
        <w:rPr>
          <w:rFonts w:ascii="Arial" w:hAnsi="Arial" w:cs="Arial"/>
          <w:sz w:val="24"/>
          <w:szCs w:val="24"/>
          <w:lang w:val="tr-TR"/>
        </w:rPr>
        <w:t>31,5</w:t>
      </w:r>
      <w:r w:rsidR="0016579D" w:rsidRPr="00585E68">
        <w:rPr>
          <w:rFonts w:ascii="Arial" w:hAnsi="Arial" w:cs="Arial"/>
          <w:sz w:val="24"/>
          <w:szCs w:val="24"/>
        </w:rPr>
        <w:t xml:space="preserve"> milyar dolar olacağı tahmin edilen turizm gelirlerinin </w:t>
      </w:r>
      <w:r w:rsidR="002F7849" w:rsidRPr="00585E68">
        <w:rPr>
          <w:rFonts w:ascii="Arial" w:hAnsi="Arial" w:cs="Arial"/>
          <w:sz w:val="24"/>
          <w:szCs w:val="24"/>
        </w:rPr>
        <w:t>Program</w:t>
      </w:r>
      <w:r w:rsidR="002F7849">
        <w:rPr>
          <w:rFonts w:ascii="Arial" w:hAnsi="Arial" w:cs="Arial"/>
          <w:sz w:val="24"/>
          <w:szCs w:val="24"/>
          <w:lang w:val="tr-TR"/>
        </w:rPr>
        <w:t xml:space="preserve"> </w:t>
      </w:r>
      <w:r w:rsidR="0016579D" w:rsidRPr="00585E68">
        <w:rPr>
          <w:rFonts w:ascii="Arial" w:hAnsi="Arial" w:cs="Arial"/>
          <w:sz w:val="24"/>
          <w:szCs w:val="24"/>
        </w:rPr>
        <w:t xml:space="preserve">dönemi sonunda, yıllık ortalama yüzde 6,4 oranında artışla, 35,5 milyar dolara ulaşacağı tahmin edilmektedir. </w:t>
      </w:r>
    </w:p>
    <w:p w:rsidR="0016579D" w:rsidRPr="00585E68" w:rsidRDefault="008E6992" w:rsidP="0010769B">
      <w:pPr>
        <w:tabs>
          <w:tab w:val="left" w:pos="567"/>
        </w:tabs>
        <w:spacing w:after="120" w:line="240" w:lineRule="auto"/>
        <w:jc w:val="both"/>
        <w:rPr>
          <w:rFonts w:ascii="Arial" w:hAnsi="Arial" w:cs="Arial"/>
          <w:b/>
          <w:sz w:val="24"/>
          <w:szCs w:val="24"/>
        </w:rPr>
      </w:pPr>
      <w:r>
        <w:rPr>
          <w:rFonts w:ascii="Arial" w:hAnsi="Arial" w:cs="Arial"/>
          <w:b/>
          <w:sz w:val="24"/>
          <w:szCs w:val="24"/>
        </w:rPr>
        <w:tab/>
      </w:r>
      <w:r w:rsidR="0016579D" w:rsidRPr="00585E68">
        <w:rPr>
          <w:rFonts w:ascii="Arial" w:hAnsi="Arial" w:cs="Arial"/>
          <w:b/>
          <w:sz w:val="24"/>
          <w:szCs w:val="24"/>
        </w:rPr>
        <w:t>4. Enflasyon</w:t>
      </w:r>
    </w:p>
    <w:p w:rsidR="00A36A8E" w:rsidRPr="00585E68" w:rsidRDefault="00A36A8E"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 xml:space="preserve">Toplam talep koşullarının enflasyona düşüş yönünde yaptığı katkının Program döneminde devam edeceği öngörülmektedir. </w:t>
      </w:r>
      <w:r w:rsidR="00CB5ABF" w:rsidRPr="00585E68">
        <w:rPr>
          <w:rFonts w:ascii="Arial" w:hAnsi="Arial" w:cs="Arial"/>
          <w:sz w:val="24"/>
          <w:szCs w:val="24"/>
          <w:lang w:val="tr-TR"/>
        </w:rPr>
        <w:t>G</w:t>
      </w:r>
      <w:proofErr w:type="spellStart"/>
      <w:r w:rsidRPr="00585E68">
        <w:rPr>
          <w:rFonts w:ascii="Arial" w:hAnsi="Arial" w:cs="Arial"/>
          <w:sz w:val="24"/>
          <w:szCs w:val="24"/>
        </w:rPr>
        <w:t>ıda</w:t>
      </w:r>
      <w:proofErr w:type="spellEnd"/>
      <w:r w:rsidRPr="00585E68">
        <w:rPr>
          <w:rFonts w:ascii="Arial" w:hAnsi="Arial" w:cs="Arial"/>
          <w:sz w:val="24"/>
          <w:szCs w:val="24"/>
        </w:rPr>
        <w:t xml:space="preserve"> enflasyonunun </w:t>
      </w:r>
      <w:r w:rsidR="00CB5ABF" w:rsidRPr="00585E68">
        <w:rPr>
          <w:rFonts w:ascii="Arial" w:hAnsi="Arial" w:cs="Arial"/>
          <w:sz w:val="24"/>
          <w:szCs w:val="24"/>
          <w:lang w:val="tr-TR"/>
        </w:rPr>
        <w:t xml:space="preserve">2015 yılında </w:t>
      </w:r>
      <w:r w:rsidRPr="00585E68">
        <w:rPr>
          <w:rFonts w:ascii="Arial" w:hAnsi="Arial" w:cs="Arial"/>
          <w:sz w:val="24"/>
          <w:szCs w:val="24"/>
        </w:rPr>
        <w:t xml:space="preserve">yüzde 9 </w:t>
      </w:r>
      <w:r w:rsidR="00CB5ABF" w:rsidRPr="00585E68">
        <w:rPr>
          <w:rFonts w:ascii="Arial" w:hAnsi="Arial" w:cs="Arial"/>
          <w:sz w:val="24"/>
          <w:szCs w:val="24"/>
          <w:lang w:val="tr-TR"/>
        </w:rPr>
        <w:t xml:space="preserve">olarak gerçekleştikten sonra takip eden yıllarda yüzde 8 </w:t>
      </w:r>
      <w:r w:rsidRPr="00585E68">
        <w:rPr>
          <w:rFonts w:ascii="Arial" w:hAnsi="Arial" w:cs="Arial"/>
          <w:sz w:val="24"/>
          <w:szCs w:val="24"/>
        </w:rPr>
        <w:t xml:space="preserve">civarında dalgalanacağı ve </w:t>
      </w:r>
      <w:proofErr w:type="spellStart"/>
      <w:r w:rsidRPr="00585E68">
        <w:rPr>
          <w:rFonts w:ascii="Arial" w:hAnsi="Arial" w:cs="Arial"/>
          <w:sz w:val="24"/>
          <w:szCs w:val="24"/>
        </w:rPr>
        <w:t>Brent</w:t>
      </w:r>
      <w:proofErr w:type="spellEnd"/>
      <w:r w:rsidRPr="00585E68">
        <w:rPr>
          <w:rFonts w:ascii="Arial" w:hAnsi="Arial" w:cs="Arial"/>
          <w:sz w:val="24"/>
          <w:szCs w:val="24"/>
        </w:rPr>
        <w:t xml:space="preserve"> tipi ham petrol </w:t>
      </w:r>
      <w:r w:rsidR="006349FA" w:rsidRPr="00585E68">
        <w:rPr>
          <w:rFonts w:ascii="Arial" w:hAnsi="Arial" w:cs="Arial"/>
          <w:sz w:val="24"/>
          <w:szCs w:val="24"/>
        </w:rPr>
        <w:t xml:space="preserve">yıllık ortalama </w:t>
      </w:r>
      <w:r w:rsidRPr="00585E68">
        <w:rPr>
          <w:rFonts w:ascii="Arial" w:hAnsi="Arial" w:cs="Arial"/>
          <w:sz w:val="24"/>
          <w:szCs w:val="24"/>
        </w:rPr>
        <w:t xml:space="preserve">fiyatının </w:t>
      </w:r>
      <w:r w:rsidR="006349FA" w:rsidRPr="00585E68">
        <w:rPr>
          <w:rFonts w:ascii="Arial" w:hAnsi="Arial" w:cs="Arial"/>
          <w:sz w:val="24"/>
          <w:szCs w:val="24"/>
        </w:rPr>
        <w:t>ise nispi olarak</w:t>
      </w:r>
      <w:r w:rsidRPr="00585E68">
        <w:rPr>
          <w:rFonts w:ascii="Arial" w:hAnsi="Arial" w:cs="Arial"/>
          <w:sz w:val="24"/>
          <w:szCs w:val="24"/>
        </w:rPr>
        <w:t xml:space="preserve"> gerileye</w:t>
      </w:r>
      <w:r w:rsidR="006349FA" w:rsidRPr="00585E68">
        <w:rPr>
          <w:rFonts w:ascii="Arial" w:hAnsi="Arial" w:cs="Arial"/>
          <w:sz w:val="24"/>
          <w:szCs w:val="24"/>
        </w:rPr>
        <w:t>rek dönem sonunda yaklaşık 99 dolar/varil olacağı</w:t>
      </w:r>
      <w:r w:rsidRPr="00585E68">
        <w:rPr>
          <w:rFonts w:ascii="Arial" w:hAnsi="Arial" w:cs="Arial"/>
          <w:sz w:val="24"/>
          <w:szCs w:val="24"/>
        </w:rPr>
        <w:t xml:space="preserve"> varsayılmıştır. Bu öngörü ve varsayımlara göre </w:t>
      </w:r>
      <w:r w:rsidRPr="00585E68">
        <w:rPr>
          <w:rFonts w:ascii="Arial" w:hAnsi="Arial" w:cs="Arial"/>
          <w:sz w:val="24"/>
          <w:szCs w:val="24"/>
        </w:rPr>
        <w:lastRenderedPageBreak/>
        <w:t xml:space="preserve">TÜFE yıllık artış hızının 2015 yılında yüzde 6,3’e </w:t>
      </w:r>
      <w:r w:rsidR="00CA1AE5" w:rsidRPr="00585E68">
        <w:rPr>
          <w:rFonts w:ascii="Arial" w:hAnsi="Arial" w:cs="Arial"/>
          <w:sz w:val="24"/>
          <w:szCs w:val="24"/>
        </w:rPr>
        <w:t>gerile</w:t>
      </w:r>
      <w:r w:rsidR="00CA1AE5">
        <w:rPr>
          <w:rFonts w:ascii="Arial" w:hAnsi="Arial" w:cs="Arial"/>
          <w:sz w:val="24"/>
          <w:szCs w:val="24"/>
          <w:lang w:val="tr-TR"/>
        </w:rPr>
        <w:t>yeceği</w:t>
      </w:r>
      <w:r w:rsidR="002F7849">
        <w:rPr>
          <w:rFonts w:ascii="Arial" w:hAnsi="Arial" w:cs="Arial"/>
          <w:sz w:val="24"/>
          <w:szCs w:val="24"/>
          <w:lang w:val="tr-TR"/>
        </w:rPr>
        <w:t>,</w:t>
      </w:r>
      <w:r w:rsidRPr="00585E68">
        <w:rPr>
          <w:rFonts w:ascii="Arial" w:hAnsi="Arial" w:cs="Arial"/>
          <w:sz w:val="24"/>
          <w:szCs w:val="24"/>
        </w:rPr>
        <w:t xml:space="preserve"> dönem sonunda ise yüzde 5 olarak </w:t>
      </w:r>
      <w:r w:rsidR="002F7849" w:rsidRPr="00585E68">
        <w:rPr>
          <w:rFonts w:ascii="Arial" w:hAnsi="Arial" w:cs="Arial"/>
          <w:sz w:val="24"/>
          <w:szCs w:val="24"/>
        </w:rPr>
        <w:t>gerçek</w:t>
      </w:r>
      <w:r w:rsidR="00CA1AE5">
        <w:rPr>
          <w:rFonts w:ascii="Arial" w:hAnsi="Arial" w:cs="Arial"/>
          <w:sz w:val="24"/>
          <w:szCs w:val="24"/>
          <w:lang w:val="tr-TR"/>
        </w:rPr>
        <w:t>leşeceği</w:t>
      </w:r>
      <w:r w:rsidR="002F7849">
        <w:rPr>
          <w:rFonts w:ascii="Arial" w:hAnsi="Arial" w:cs="Arial"/>
          <w:sz w:val="24"/>
          <w:szCs w:val="24"/>
          <w:lang w:val="tr-TR"/>
        </w:rPr>
        <w:t xml:space="preserve"> </w:t>
      </w:r>
      <w:r w:rsidR="00FE02E9">
        <w:rPr>
          <w:rFonts w:ascii="Arial" w:hAnsi="Arial" w:cs="Arial"/>
          <w:sz w:val="24"/>
          <w:szCs w:val="24"/>
          <w:lang w:val="tr-TR"/>
        </w:rPr>
        <w:t>öngörülmektedir</w:t>
      </w:r>
      <w:r w:rsidR="002F7849">
        <w:rPr>
          <w:rFonts w:ascii="Arial" w:hAnsi="Arial" w:cs="Arial"/>
          <w:sz w:val="24"/>
          <w:szCs w:val="24"/>
          <w:lang w:val="tr-TR"/>
        </w:rPr>
        <w:t>.</w:t>
      </w:r>
    </w:p>
    <w:p w:rsidR="0016579D" w:rsidRPr="00585E68" w:rsidRDefault="008E6992" w:rsidP="0010769B">
      <w:pPr>
        <w:tabs>
          <w:tab w:val="left" w:pos="567"/>
        </w:tabs>
        <w:spacing w:after="120" w:line="240" w:lineRule="auto"/>
        <w:jc w:val="both"/>
        <w:rPr>
          <w:rFonts w:ascii="Arial" w:hAnsi="Arial" w:cs="Arial"/>
          <w:b/>
          <w:sz w:val="24"/>
          <w:szCs w:val="24"/>
        </w:rPr>
      </w:pPr>
      <w:r>
        <w:rPr>
          <w:rFonts w:ascii="Arial" w:hAnsi="Arial" w:cs="Arial"/>
          <w:b/>
          <w:sz w:val="24"/>
          <w:szCs w:val="24"/>
        </w:rPr>
        <w:tab/>
      </w:r>
      <w:r w:rsidR="0016579D" w:rsidRPr="00585E68">
        <w:rPr>
          <w:rFonts w:ascii="Arial" w:hAnsi="Arial" w:cs="Arial"/>
          <w:b/>
          <w:sz w:val="24"/>
          <w:szCs w:val="24"/>
        </w:rPr>
        <w:t xml:space="preserve">5. İstihdam </w:t>
      </w:r>
    </w:p>
    <w:p w:rsidR="0016579D" w:rsidRPr="00585E68" w:rsidRDefault="0016579D"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 xml:space="preserve">Program döneminde işgücüne ve istihdama katılımın artırılmasına yönelik uygulanacak politikalar sonucunda tarım dışında ilave </w:t>
      </w:r>
      <w:r w:rsidR="00CD3556" w:rsidRPr="00585E68">
        <w:rPr>
          <w:rFonts w:ascii="Arial" w:hAnsi="Arial" w:cs="Arial"/>
          <w:sz w:val="24"/>
          <w:szCs w:val="24"/>
          <w:lang w:val="tr-TR"/>
        </w:rPr>
        <w:t>2.158</w:t>
      </w:r>
      <w:r w:rsidRPr="00585E68">
        <w:rPr>
          <w:rFonts w:ascii="Arial" w:hAnsi="Arial" w:cs="Arial"/>
          <w:sz w:val="24"/>
          <w:szCs w:val="24"/>
        </w:rPr>
        <w:t xml:space="preserve"> bin kişinin istihdam edilmesi beklenmektedir. Bu dönemde tarım istihdamında beklenen </w:t>
      </w:r>
      <w:r w:rsidR="00CD3556" w:rsidRPr="00585E68">
        <w:rPr>
          <w:rFonts w:ascii="Arial" w:hAnsi="Arial" w:cs="Arial"/>
          <w:sz w:val="24"/>
          <w:szCs w:val="24"/>
          <w:lang w:val="tr-TR"/>
        </w:rPr>
        <w:t>azalmanın</w:t>
      </w:r>
      <w:r w:rsidRPr="00585E68">
        <w:rPr>
          <w:rFonts w:ascii="Arial" w:hAnsi="Arial" w:cs="Arial"/>
          <w:sz w:val="24"/>
          <w:szCs w:val="24"/>
        </w:rPr>
        <w:t xml:space="preserve"> etkisiyle toplam istihdam artışının </w:t>
      </w:r>
      <w:r w:rsidR="00CD3556" w:rsidRPr="00585E68">
        <w:rPr>
          <w:rFonts w:ascii="Arial" w:hAnsi="Arial" w:cs="Arial"/>
          <w:sz w:val="24"/>
          <w:szCs w:val="24"/>
          <w:lang w:val="tr-TR"/>
        </w:rPr>
        <w:t>1.775</w:t>
      </w:r>
      <w:r w:rsidRPr="00585E68">
        <w:rPr>
          <w:rFonts w:ascii="Arial" w:hAnsi="Arial" w:cs="Arial"/>
          <w:sz w:val="24"/>
          <w:szCs w:val="24"/>
        </w:rPr>
        <w:t xml:space="preserve"> bin kişi olacağı öngörülmektedir. </w:t>
      </w:r>
    </w:p>
    <w:p w:rsidR="0016579D" w:rsidRPr="00585E68" w:rsidRDefault="0016579D"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201</w:t>
      </w:r>
      <w:r w:rsidR="00CD3556" w:rsidRPr="00585E68">
        <w:rPr>
          <w:rFonts w:ascii="Arial" w:hAnsi="Arial" w:cs="Arial"/>
          <w:sz w:val="24"/>
          <w:szCs w:val="24"/>
          <w:lang w:val="tr-TR"/>
        </w:rPr>
        <w:t>4</w:t>
      </w:r>
      <w:r w:rsidRPr="00585E68">
        <w:rPr>
          <w:rFonts w:ascii="Arial" w:hAnsi="Arial" w:cs="Arial"/>
          <w:sz w:val="24"/>
          <w:szCs w:val="24"/>
        </w:rPr>
        <w:t xml:space="preserve"> yılı sonunda yüzde </w:t>
      </w:r>
      <w:r w:rsidR="00CD3556" w:rsidRPr="00585E68">
        <w:rPr>
          <w:rFonts w:ascii="Arial" w:hAnsi="Arial" w:cs="Arial"/>
          <w:sz w:val="24"/>
          <w:szCs w:val="24"/>
          <w:lang w:val="tr-TR"/>
        </w:rPr>
        <w:t>50,1</w:t>
      </w:r>
      <w:r w:rsidRPr="00585E68">
        <w:rPr>
          <w:rFonts w:ascii="Arial" w:hAnsi="Arial" w:cs="Arial"/>
          <w:sz w:val="24"/>
          <w:szCs w:val="24"/>
        </w:rPr>
        <w:t xml:space="preserve"> olması beklenen işgücüne katılım oranının </w:t>
      </w:r>
      <w:r w:rsidR="006349FA" w:rsidRPr="00585E68">
        <w:rPr>
          <w:rFonts w:ascii="Arial" w:hAnsi="Arial" w:cs="Arial"/>
          <w:sz w:val="24"/>
          <w:szCs w:val="24"/>
          <w:lang w:val="tr-TR"/>
        </w:rPr>
        <w:t xml:space="preserve">Program </w:t>
      </w:r>
      <w:r w:rsidRPr="00585E68">
        <w:rPr>
          <w:rFonts w:ascii="Arial" w:hAnsi="Arial" w:cs="Arial"/>
          <w:sz w:val="24"/>
          <w:szCs w:val="24"/>
        </w:rPr>
        <w:t>dönem</w:t>
      </w:r>
      <w:r w:rsidR="006349FA" w:rsidRPr="00585E68">
        <w:rPr>
          <w:rFonts w:ascii="Arial" w:hAnsi="Arial" w:cs="Arial"/>
          <w:sz w:val="24"/>
          <w:szCs w:val="24"/>
          <w:lang w:val="tr-TR"/>
        </w:rPr>
        <w:t>i</w:t>
      </w:r>
      <w:r w:rsidRPr="00585E68">
        <w:rPr>
          <w:rFonts w:ascii="Arial" w:hAnsi="Arial" w:cs="Arial"/>
          <w:sz w:val="24"/>
          <w:szCs w:val="24"/>
        </w:rPr>
        <w:t xml:space="preserve"> sonunda yüzde 5</w:t>
      </w:r>
      <w:r w:rsidR="00CD3556" w:rsidRPr="00585E68">
        <w:rPr>
          <w:rFonts w:ascii="Arial" w:hAnsi="Arial" w:cs="Arial"/>
          <w:sz w:val="24"/>
          <w:szCs w:val="24"/>
          <w:lang w:val="tr-TR"/>
        </w:rPr>
        <w:t>0,5</w:t>
      </w:r>
      <w:r w:rsidRPr="00585E68">
        <w:rPr>
          <w:rFonts w:ascii="Arial" w:hAnsi="Arial" w:cs="Arial"/>
          <w:sz w:val="24"/>
          <w:szCs w:val="24"/>
        </w:rPr>
        <w:t>’</w:t>
      </w:r>
      <w:r w:rsidR="00CD3556" w:rsidRPr="00585E68">
        <w:rPr>
          <w:rFonts w:ascii="Arial" w:hAnsi="Arial" w:cs="Arial"/>
          <w:sz w:val="24"/>
          <w:szCs w:val="24"/>
          <w:lang w:val="tr-TR"/>
        </w:rPr>
        <w:t>e</w:t>
      </w:r>
      <w:r w:rsidRPr="00585E68">
        <w:rPr>
          <w:rFonts w:ascii="Arial" w:hAnsi="Arial" w:cs="Arial"/>
          <w:sz w:val="24"/>
          <w:szCs w:val="24"/>
        </w:rPr>
        <w:t xml:space="preserve"> ulaşması hedeflenmektedir. </w:t>
      </w:r>
    </w:p>
    <w:p w:rsidR="0016579D" w:rsidRPr="00585E68" w:rsidRDefault="0016579D"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201</w:t>
      </w:r>
      <w:r w:rsidR="00CD3556" w:rsidRPr="00585E68">
        <w:rPr>
          <w:rFonts w:ascii="Arial" w:hAnsi="Arial" w:cs="Arial"/>
          <w:sz w:val="24"/>
          <w:szCs w:val="24"/>
          <w:lang w:val="tr-TR"/>
        </w:rPr>
        <w:t>4</w:t>
      </w:r>
      <w:r w:rsidRPr="00585E68">
        <w:rPr>
          <w:rFonts w:ascii="Arial" w:hAnsi="Arial" w:cs="Arial"/>
          <w:sz w:val="24"/>
          <w:szCs w:val="24"/>
        </w:rPr>
        <w:t xml:space="preserve"> yılında yüzde </w:t>
      </w:r>
      <w:r w:rsidR="00CD3556" w:rsidRPr="00585E68">
        <w:rPr>
          <w:rFonts w:ascii="Arial" w:hAnsi="Arial" w:cs="Arial"/>
          <w:sz w:val="24"/>
          <w:szCs w:val="24"/>
          <w:lang w:val="tr-TR"/>
        </w:rPr>
        <w:t>45,3</w:t>
      </w:r>
      <w:r w:rsidRPr="00585E68">
        <w:rPr>
          <w:rFonts w:ascii="Arial" w:hAnsi="Arial" w:cs="Arial"/>
          <w:sz w:val="24"/>
          <w:szCs w:val="24"/>
        </w:rPr>
        <w:t xml:space="preserve"> olması beklenen istihdam oranının dönem sonunda yüzde 4</w:t>
      </w:r>
      <w:r w:rsidR="00CD3556" w:rsidRPr="00585E68">
        <w:rPr>
          <w:rFonts w:ascii="Arial" w:hAnsi="Arial" w:cs="Arial"/>
          <w:sz w:val="24"/>
          <w:szCs w:val="24"/>
          <w:lang w:val="tr-TR"/>
        </w:rPr>
        <w:t>5,9</w:t>
      </w:r>
      <w:r w:rsidRPr="00585E68">
        <w:rPr>
          <w:rFonts w:ascii="Arial" w:hAnsi="Arial" w:cs="Arial"/>
          <w:sz w:val="24"/>
          <w:szCs w:val="24"/>
        </w:rPr>
        <w:t>’</w:t>
      </w:r>
      <w:r w:rsidR="006349FA" w:rsidRPr="00585E68">
        <w:rPr>
          <w:rFonts w:ascii="Arial" w:hAnsi="Arial" w:cs="Arial"/>
          <w:sz w:val="24"/>
          <w:szCs w:val="24"/>
          <w:lang w:val="tr-TR"/>
        </w:rPr>
        <w:t>a</w:t>
      </w:r>
      <w:r w:rsidRPr="00585E68">
        <w:rPr>
          <w:rFonts w:ascii="Arial" w:hAnsi="Arial" w:cs="Arial"/>
          <w:sz w:val="24"/>
          <w:szCs w:val="24"/>
        </w:rPr>
        <w:t xml:space="preserve"> yükselmesi beklenmektedir. Böylece</w:t>
      </w:r>
      <w:r w:rsidR="006349FA" w:rsidRPr="00585E68">
        <w:rPr>
          <w:rFonts w:ascii="Arial" w:hAnsi="Arial" w:cs="Arial"/>
          <w:sz w:val="24"/>
          <w:szCs w:val="24"/>
          <w:lang w:val="tr-TR"/>
        </w:rPr>
        <w:t>,</w:t>
      </w:r>
      <w:r w:rsidRPr="00585E68">
        <w:rPr>
          <w:rFonts w:ascii="Arial" w:hAnsi="Arial" w:cs="Arial"/>
          <w:sz w:val="24"/>
          <w:szCs w:val="24"/>
        </w:rPr>
        <w:t xml:space="preserve"> dönem sonunda </w:t>
      </w:r>
      <w:r w:rsidR="000E4E1D">
        <w:rPr>
          <w:rFonts w:ascii="Arial" w:hAnsi="Arial" w:cs="Arial"/>
          <w:sz w:val="24"/>
          <w:szCs w:val="24"/>
          <w:lang w:val="tr-TR"/>
        </w:rPr>
        <w:t xml:space="preserve">istihdam edilen kişi sayısı </w:t>
      </w:r>
      <w:r w:rsidR="00CD3556" w:rsidRPr="00585E68">
        <w:rPr>
          <w:rFonts w:ascii="Arial" w:hAnsi="Arial" w:cs="Arial"/>
          <w:sz w:val="24"/>
          <w:szCs w:val="24"/>
          <w:lang w:val="tr-TR"/>
        </w:rPr>
        <w:t>27.599</w:t>
      </w:r>
      <w:r w:rsidRPr="00585E68">
        <w:rPr>
          <w:rFonts w:ascii="Arial" w:hAnsi="Arial" w:cs="Arial"/>
          <w:sz w:val="24"/>
          <w:szCs w:val="24"/>
        </w:rPr>
        <w:t xml:space="preserve"> bin</w:t>
      </w:r>
      <w:r w:rsidR="000E4E1D">
        <w:rPr>
          <w:rFonts w:ascii="Arial" w:hAnsi="Arial" w:cs="Arial"/>
          <w:sz w:val="24"/>
          <w:szCs w:val="24"/>
          <w:lang w:val="tr-TR"/>
        </w:rPr>
        <w:t>e ulaşacaktır.</w:t>
      </w:r>
      <w:r w:rsidRPr="00585E68">
        <w:rPr>
          <w:rFonts w:ascii="Arial" w:hAnsi="Arial" w:cs="Arial"/>
          <w:sz w:val="24"/>
          <w:szCs w:val="24"/>
        </w:rPr>
        <w:t xml:space="preserve"> </w:t>
      </w:r>
    </w:p>
    <w:p w:rsidR="0016579D" w:rsidRPr="00585E68" w:rsidRDefault="0016579D"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İstihdamda tarım sektörünün ağırlığının 201</w:t>
      </w:r>
      <w:r w:rsidR="00CD3556" w:rsidRPr="00585E68">
        <w:rPr>
          <w:rFonts w:ascii="Arial" w:hAnsi="Arial" w:cs="Arial"/>
          <w:sz w:val="24"/>
          <w:szCs w:val="24"/>
          <w:lang w:val="tr-TR"/>
        </w:rPr>
        <w:t>4</w:t>
      </w:r>
      <w:r w:rsidRPr="00585E68">
        <w:rPr>
          <w:rFonts w:ascii="Arial" w:hAnsi="Arial" w:cs="Arial"/>
          <w:sz w:val="24"/>
          <w:szCs w:val="24"/>
        </w:rPr>
        <w:t xml:space="preserve"> yılında yüzde </w:t>
      </w:r>
      <w:r w:rsidR="00CD3556" w:rsidRPr="00585E68">
        <w:rPr>
          <w:rFonts w:ascii="Arial" w:hAnsi="Arial" w:cs="Arial"/>
          <w:sz w:val="24"/>
          <w:szCs w:val="24"/>
          <w:lang w:val="tr-TR"/>
        </w:rPr>
        <w:t>21,</w:t>
      </w:r>
      <w:r w:rsidR="0017368A" w:rsidRPr="00585E68">
        <w:rPr>
          <w:rFonts w:ascii="Arial" w:hAnsi="Arial" w:cs="Arial"/>
          <w:sz w:val="24"/>
          <w:szCs w:val="24"/>
          <w:lang w:val="tr-TR"/>
        </w:rPr>
        <w:t>3</w:t>
      </w:r>
      <w:r w:rsidRPr="00585E68">
        <w:rPr>
          <w:rFonts w:ascii="Arial" w:hAnsi="Arial" w:cs="Arial"/>
          <w:sz w:val="24"/>
          <w:szCs w:val="24"/>
        </w:rPr>
        <w:t xml:space="preserve"> olarak gerçekleşmesi beklenirken, dönem sonunda bu oranın yüzde </w:t>
      </w:r>
      <w:r w:rsidR="009B1211" w:rsidRPr="00585E68">
        <w:rPr>
          <w:rFonts w:ascii="Arial" w:hAnsi="Arial" w:cs="Arial"/>
          <w:sz w:val="24"/>
          <w:szCs w:val="24"/>
          <w:lang w:val="tr-TR"/>
        </w:rPr>
        <w:t>18,5</w:t>
      </w:r>
      <w:r w:rsidRPr="00585E68">
        <w:rPr>
          <w:rFonts w:ascii="Arial" w:hAnsi="Arial" w:cs="Arial"/>
          <w:sz w:val="24"/>
          <w:szCs w:val="24"/>
        </w:rPr>
        <w:t xml:space="preserve">’e gerileyeceği tahmin edilmektedir. </w:t>
      </w:r>
    </w:p>
    <w:p w:rsidR="0016579D" w:rsidRPr="00585E68" w:rsidRDefault="0016579D" w:rsidP="0010769B">
      <w:pPr>
        <w:pStyle w:val="ListeParagraf"/>
        <w:numPr>
          <w:ilvl w:val="0"/>
          <w:numId w:val="1"/>
        </w:numPr>
        <w:tabs>
          <w:tab w:val="left" w:pos="567"/>
        </w:tabs>
        <w:spacing w:after="120" w:line="240" w:lineRule="auto"/>
        <w:ind w:left="0" w:firstLine="0"/>
        <w:contextualSpacing w:val="0"/>
        <w:jc w:val="both"/>
        <w:rPr>
          <w:rFonts w:ascii="Arial" w:hAnsi="Arial" w:cs="Arial"/>
          <w:color w:val="FF0000"/>
          <w:sz w:val="24"/>
          <w:szCs w:val="24"/>
        </w:rPr>
      </w:pPr>
      <w:r w:rsidRPr="00585E68">
        <w:rPr>
          <w:rFonts w:ascii="Arial" w:hAnsi="Arial" w:cs="Arial"/>
          <w:sz w:val="24"/>
          <w:szCs w:val="24"/>
        </w:rPr>
        <w:t>201</w:t>
      </w:r>
      <w:r w:rsidR="009B1211" w:rsidRPr="00585E68">
        <w:rPr>
          <w:rFonts w:ascii="Arial" w:hAnsi="Arial" w:cs="Arial"/>
          <w:sz w:val="24"/>
          <w:szCs w:val="24"/>
          <w:lang w:val="tr-TR"/>
        </w:rPr>
        <w:t>4</w:t>
      </w:r>
      <w:r w:rsidRPr="00585E68">
        <w:rPr>
          <w:rFonts w:ascii="Arial" w:hAnsi="Arial" w:cs="Arial"/>
          <w:sz w:val="24"/>
          <w:szCs w:val="24"/>
        </w:rPr>
        <w:t xml:space="preserve"> yılı sonunda yüzde </w:t>
      </w:r>
      <w:r w:rsidR="009B1211" w:rsidRPr="00585E68">
        <w:rPr>
          <w:rFonts w:ascii="Arial" w:hAnsi="Arial" w:cs="Arial"/>
          <w:sz w:val="24"/>
          <w:szCs w:val="24"/>
          <w:lang w:val="tr-TR"/>
        </w:rPr>
        <w:t>9,6</w:t>
      </w:r>
      <w:r w:rsidRPr="00585E68">
        <w:rPr>
          <w:rFonts w:ascii="Arial" w:hAnsi="Arial" w:cs="Arial"/>
          <w:sz w:val="24"/>
          <w:szCs w:val="24"/>
        </w:rPr>
        <w:t xml:space="preserve"> olacağı tahmin edilen işsizlik oranının 201</w:t>
      </w:r>
      <w:r w:rsidR="009B1211" w:rsidRPr="00585E68">
        <w:rPr>
          <w:rFonts w:ascii="Arial" w:hAnsi="Arial" w:cs="Arial"/>
          <w:sz w:val="24"/>
          <w:szCs w:val="24"/>
          <w:lang w:val="tr-TR"/>
        </w:rPr>
        <w:t>7</w:t>
      </w:r>
      <w:r w:rsidRPr="00585E68">
        <w:rPr>
          <w:rFonts w:ascii="Arial" w:hAnsi="Arial" w:cs="Arial"/>
          <w:sz w:val="24"/>
          <w:szCs w:val="24"/>
        </w:rPr>
        <w:t xml:space="preserve"> yılında yüzde </w:t>
      </w:r>
      <w:r w:rsidR="009B1211" w:rsidRPr="00585E68">
        <w:rPr>
          <w:rFonts w:ascii="Arial" w:hAnsi="Arial" w:cs="Arial"/>
          <w:sz w:val="24"/>
          <w:szCs w:val="24"/>
          <w:lang w:val="tr-TR"/>
        </w:rPr>
        <w:t>9,1</w:t>
      </w:r>
      <w:r w:rsidRPr="00585E68">
        <w:rPr>
          <w:rFonts w:ascii="Arial" w:hAnsi="Arial" w:cs="Arial"/>
          <w:sz w:val="24"/>
          <w:szCs w:val="24"/>
        </w:rPr>
        <w:t xml:space="preserve"> seviyesine gerileyeceği öngörülmektedir.</w:t>
      </w:r>
      <w:r w:rsidRPr="00585E68">
        <w:rPr>
          <w:rFonts w:ascii="Arial" w:hAnsi="Arial" w:cs="Arial"/>
          <w:color w:val="FF0000"/>
          <w:sz w:val="24"/>
          <w:szCs w:val="24"/>
        </w:rPr>
        <w:t xml:space="preserve"> </w:t>
      </w:r>
    </w:p>
    <w:p w:rsidR="005B7C3E" w:rsidRPr="00585E68" w:rsidRDefault="008E6992" w:rsidP="0010769B">
      <w:pPr>
        <w:tabs>
          <w:tab w:val="left" w:pos="567"/>
        </w:tabs>
        <w:autoSpaceDE w:val="0"/>
        <w:autoSpaceDN w:val="0"/>
        <w:adjustRightInd w:val="0"/>
        <w:spacing w:after="120" w:line="240" w:lineRule="auto"/>
        <w:jc w:val="both"/>
        <w:rPr>
          <w:rFonts w:ascii="Arial" w:hAnsi="Arial" w:cs="Arial"/>
          <w:b/>
          <w:sz w:val="24"/>
          <w:szCs w:val="24"/>
        </w:rPr>
      </w:pPr>
      <w:r>
        <w:rPr>
          <w:rFonts w:ascii="Arial" w:hAnsi="Arial" w:cs="Arial"/>
          <w:sz w:val="24"/>
          <w:szCs w:val="24"/>
        </w:rPr>
        <w:tab/>
      </w:r>
      <w:r w:rsidR="005B7C3E" w:rsidRPr="00585E68">
        <w:rPr>
          <w:rFonts w:ascii="Arial" w:hAnsi="Arial" w:cs="Arial"/>
          <w:b/>
          <w:sz w:val="24"/>
          <w:szCs w:val="24"/>
        </w:rPr>
        <w:t>B. MAKROEKONOMİK POLİTİKALAR</w:t>
      </w:r>
    </w:p>
    <w:p w:rsidR="005B7C3E" w:rsidRPr="00585E68" w:rsidRDefault="008E6992" w:rsidP="0010769B">
      <w:pPr>
        <w:tabs>
          <w:tab w:val="left" w:pos="567"/>
        </w:tabs>
        <w:spacing w:after="120" w:line="240" w:lineRule="auto"/>
        <w:jc w:val="both"/>
        <w:rPr>
          <w:rFonts w:ascii="Arial" w:hAnsi="Arial" w:cs="Arial"/>
          <w:b/>
          <w:sz w:val="24"/>
          <w:szCs w:val="24"/>
        </w:rPr>
      </w:pPr>
      <w:r>
        <w:rPr>
          <w:rFonts w:ascii="Arial" w:hAnsi="Arial" w:cs="Arial"/>
          <w:b/>
          <w:sz w:val="24"/>
          <w:szCs w:val="24"/>
        </w:rPr>
        <w:tab/>
      </w:r>
      <w:r w:rsidR="0080502C">
        <w:rPr>
          <w:rFonts w:ascii="Arial" w:hAnsi="Arial" w:cs="Arial"/>
          <w:b/>
          <w:sz w:val="24"/>
          <w:szCs w:val="24"/>
        </w:rPr>
        <w:t xml:space="preserve">1. </w:t>
      </w:r>
      <w:r w:rsidR="00485CF9">
        <w:rPr>
          <w:rFonts w:ascii="Arial" w:hAnsi="Arial" w:cs="Arial"/>
          <w:b/>
          <w:sz w:val="24"/>
          <w:szCs w:val="24"/>
        </w:rPr>
        <w:t>Büyüme</w:t>
      </w:r>
    </w:p>
    <w:p w:rsidR="00312D61" w:rsidRPr="00585E68" w:rsidRDefault="009625C1"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lang w:val="tr-TR"/>
        </w:rPr>
        <w:t>Yüksek ve istikrarlı büyümeye yönelik temel strateji, özel sektör öncülüğünde dışa açık, rekabetçi ve yenilikçi bir üretim yapısının geliştirilmesidir.</w:t>
      </w:r>
      <w:r w:rsidR="00312D61" w:rsidRPr="00585E68">
        <w:rPr>
          <w:rFonts w:ascii="Arial" w:hAnsi="Arial" w:cs="Arial"/>
          <w:sz w:val="24"/>
          <w:szCs w:val="24"/>
        </w:rPr>
        <w:t xml:space="preserve"> </w:t>
      </w:r>
    </w:p>
    <w:p w:rsidR="00312D61" w:rsidRPr="00585E68" w:rsidRDefault="00312D61"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Makroekonomik istikrarın güçlendirilerek korunması amacıyla para, finansal sektör, maliye ve gelirler politikaları eşgüdüm içerisinde yürütülecektir.</w:t>
      </w:r>
    </w:p>
    <w:p w:rsidR="009625C1" w:rsidRPr="00585E68" w:rsidRDefault="00954A03"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lang w:val="tr-TR"/>
        </w:rPr>
      </w:pPr>
      <w:r w:rsidRPr="00585E68">
        <w:rPr>
          <w:rFonts w:ascii="Arial" w:hAnsi="Arial" w:cs="Arial"/>
          <w:sz w:val="24"/>
          <w:szCs w:val="24"/>
          <w:lang w:val="tr-TR"/>
        </w:rPr>
        <w:t>Yurt içi</w:t>
      </w:r>
      <w:r w:rsidR="0021174F" w:rsidRPr="00585E68">
        <w:rPr>
          <w:rFonts w:ascii="Arial" w:hAnsi="Arial" w:cs="Arial"/>
          <w:sz w:val="24"/>
          <w:szCs w:val="24"/>
          <w:lang w:val="tr-TR"/>
        </w:rPr>
        <w:t xml:space="preserve"> kaynakların artırılması, </w:t>
      </w:r>
      <w:r w:rsidR="009625C1" w:rsidRPr="00585E68">
        <w:rPr>
          <w:rFonts w:ascii="Arial" w:hAnsi="Arial" w:cs="Arial"/>
          <w:sz w:val="24"/>
          <w:szCs w:val="24"/>
          <w:lang w:val="tr-TR"/>
        </w:rPr>
        <w:t xml:space="preserve">kaynakların </w:t>
      </w:r>
      <w:r w:rsidR="0021174F" w:rsidRPr="00585E68">
        <w:rPr>
          <w:rFonts w:ascii="Arial" w:hAnsi="Arial" w:cs="Arial"/>
          <w:sz w:val="24"/>
          <w:szCs w:val="24"/>
          <w:lang w:val="tr-TR"/>
        </w:rPr>
        <w:t xml:space="preserve">daha </w:t>
      </w:r>
      <w:r w:rsidR="009625C1" w:rsidRPr="00585E68">
        <w:rPr>
          <w:rFonts w:ascii="Arial" w:hAnsi="Arial" w:cs="Arial"/>
          <w:sz w:val="24"/>
          <w:szCs w:val="24"/>
          <w:lang w:val="tr-TR"/>
        </w:rPr>
        <w:t>ü</w:t>
      </w:r>
      <w:r w:rsidR="007F467D" w:rsidRPr="00585E68">
        <w:rPr>
          <w:rFonts w:ascii="Arial" w:hAnsi="Arial" w:cs="Arial"/>
          <w:sz w:val="24"/>
          <w:szCs w:val="24"/>
          <w:lang w:val="tr-TR"/>
        </w:rPr>
        <w:t>retken alanlara yönlendirilmesi</w:t>
      </w:r>
      <w:r w:rsidR="0021174F" w:rsidRPr="00585E68">
        <w:rPr>
          <w:rFonts w:ascii="Arial" w:hAnsi="Arial" w:cs="Arial"/>
          <w:sz w:val="24"/>
          <w:szCs w:val="24"/>
          <w:lang w:val="tr-TR"/>
        </w:rPr>
        <w:t xml:space="preserve"> ve özel sektör imalat sanayii yatırımlarının artırılması</w:t>
      </w:r>
      <w:r w:rsidR="006C16FE" w:rsidRPr="00585E68">
        <w:rPr>
          <w:rFonts w:ascii="Arial" w:hAnsi="Arial" w:cs="Arial"/>
          <w:sz w:val="24"/>
          <w:szCs w:val="24"/>
          <w:lang w:val="tr-TR"/>
        </w:rPr>
        <w:t>,</w:t>
      </w:r>
      <w:r w:rsidR="0081342B" w:rsidRPr="00585E68">
        <w:rPr>
          <w:rFonts w:ascii="Arial" w:hAnsi="Arial" w:cs="Arial"/>
          <w:sz w:val="24"/>
          <w:szCs w:val="24"/>
          <w:lang w:val="tr-TR"/>
        </w:rPr>
        <w:t xml:space="preserve"> </w:t>
      </w:r>
      <w:r w:rsidR="009625C1" w:rsidRPr="00585E68">
        <w:rPr>
          <w:rFonts w:ascii="Arial" w:hAnsi="Arial" w:cs="Arial"/>
          <w:sz w:val="24"/>
          <w:szCs w:val="24"/>
          <w:lang w:val="tr-TR"/>
        </w:rPr>
        <w:t xml:space="preserve">imalat sanayiinin GSYH içindeki payının </w:t>
      </w:r>
      <w:r w:rsidR="006C16FE" w:rsidRPr="00585E68">
        <w:rPr>
          <w:rFonts w:ascii="Arial" w:hAnsi="Arial" w:cs="Arial"/>
          <w:sz w:val="24"/>
          <w:szCs w:val="24"/>
          <w:lang w:val="tr-TR"/>
        </w:rPr>
        <w:t xml:space="preserve">yükseltilmesi </w:t>
      </w:r>
      <w:r w:rsidR="00200771" w:rsidRPr="00585E68">
        <w:rPr>
          <w:rFonts w:ascii="Arial" w:hAnsi="Arial" w:cs="Arial"/>
          <w:sz w:val="24"/>
          <w:szCs w:val="24"/>
          <w:lang w:val="tr-TR"/>
        </w:rPr>
        <w:t xml:space="preserve">ve işgücü verimliliğinin artırılması </w:t>
      </w:r>
      <w:r w:rsidR="009625C1" w:rsidRPr="00585E68">
        <w:rPr>
          <w:rFonts w:ascii="Arial" w:hAnsi="Arial" w:cs="Arial"/>
          <w:sz w:val="24"/>
          <w:szCs w:val="24"/>
          <w:lang w:val="tr-TR"/>
        </w:rPr>
        <w:t>büyümenin sürdürülebilirliği açısından önem arz etmektedir.</w:t>
      </w:r>
    </w:p>
    <w:p w:rsidR="00E93918" w:rsidRPr="00585E68" w:rsidRDefault="005B7C3E"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 xml:space="preserve">Program döneminde </w:t>
      </w:r>
      <w:r w:rsidR="00C40D2B" w:rsidRPr="00585E68">
        <w:rPr>
          <w:rFonts w:ascii="Arial" w:hAnsi="Arial" w:cs="Arial"/>
          <w:sz w:val="24"/>
          <w:szCs w:val="24"/>
          <w:lang w:val="tr-TR"/>
        </w:rPr>
        <w:t>özel tüketimin özel harcanabilir gelir artışının üzerinde artmaması, özel yatırımların güçlü seyretmesi, kamu tasarruflarının tedrici bir şekilde artması hedeflenmektedir. Yeniden dengelenme süreciyle oluşan ortamın bozulmayarak net ihracatın b</w:t>
      </w:r>
      <w:r w:rsidR="00E93918" w:rsidRPr="00585E68">
        <w:rPr>
          <w:rFonts w:ascii="Arial" w:hAnsi="Arial" w:cs="Arial"/>
          <w:sz w:val="24"/>
          <w:szCs w:val="24"/>
          <w:lang w:val="tr-TR"/>
        </w:rPr>
        <w:t>üyümeyi</w:t>
      </w:r>
      <w:r w:rsidR="00C40D2B" w:rsidRPr="00585E68">
        <w:rPr>
          <w:rFonts w:ascii="Arial" w:hAnsi="Arial" w:cs="Arial"/>
          <w:sz w:val="24"/>
          <w:szCs w:val="24"/>
          <w:lang w:val="tr-TR"/>
        </w:rPr>
        <w:t xml:space="preserve"> </w:t>
      </w:r>
      <w:r w:rsidR="00E93918" w:rsidRPr="00585E68">
        <w:rPr>
          <w:rFonts w:ascii="Arial" w:hAnsi="Arial" w:cs="Arial"/>
          <w:sz w:val="24"/>
          <w:szCs w:val="24"/>
          <w:lang w:val="tr-TR"/>
        </w:rPr>
        <w:t>olumsuz etkilememesine gayret edilecektir.</w:t>
      </w:r>
    </w:p>
    <w:p w:rsidR="0011725E" w:rsidRPr="00585E68" w:rsidRDefault="00240F4C"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lang w:val="tr-TR"/>
        </w:rPr>
        <w:t xml:space="preserve">Gerek </w:t>
      </w:r>
      <w:r w:rsidR="001A73B8" w:rsidRPr="00585E68">
        <w:rPr>
          <w:rFonts w:ascii="Arial" w:hAnsi="Arial" w:cs="Arial"/>
          <w:sz w:val="24"/>
          <w:szCs w:val="24"/>
          <w:lang w:val="tr-TR"/>
        </w:rPr>
        <w:t>kamu</w:t>
      </w:r>
      <w:r w:rsidRPr="00585E68">
        <w:rPr>
          <w:rFonts w:ascii="Arial" w:hAnsi="Arial" w:cs="Arial"/>
          <w:sz w:val="24"/>
          <w:szCs w:val="24"/>
          <w:lang w:val="tr-TR"/>
        </w:rPr>
        <w:t xml:space="preserve"> sektörü</w:t>
      </w:r>
      <w:r w:rsidR="001A73B8" w:rsidRPr="00585E68">
        <w:rPr>
          <w:rFonts w:ascii="Arial" w:hAnsi="Arial" w:cs="Arial"/>
          <w:sz w:val="24"/>
          <w:szCs w:val="24"/>
          <w:lang w:val="tr-TR"/>
        </w:rPr>
        <w:t xml:space="preserve"> </w:t>
      </w:r>
      <w:r w:rsidRPr="00585E68">
        <w:rPr>
          <w:rFonts w:ascii="Arial" w:hAnsi="Arial" w:cs="Arial"/>
          <w:sz w:val="24"/>
          <w:szCs w:val="24"/>
          <w:lang w:val="tr-TR"/>
        </w:rPr>
        <w:t xml:space="preserve">gerek </w:t>
      </w:r>
      <w:r w:rsidR="00F407FA" w:rsidRPr="00585E68">
        <w:rPr>
          <w:rFonts w:ascii="Arial" w:hAnsi="Arial" w:cs="Arial"/>
          <w:sz w:val="24"/>
          <w:szCs w:val="24"/>
          <w:lang w:val="tr-TR"/>
        </w:rPr>
        <w:t>özel sektör</w:t>
      </w:r>
      <w:r w:rsidR="001A73B8" w:rsidRPr="00585E68">
        <w:rPr>
          <w:rFonts w:ascii="Arial" w:hAnsi="Arial" w:cs="Arial"/>
          <w:sz w:val="24"/>
          <w:szCs w:val="24"/>
          <w:lang w:val="tr-TR"/>
        </w:rPr>
        <w:t>de</w:t>
      </w:r>
      <w:r w:rsidR="00F407FA" w:rsidRPr="00585E68">
        <w:rPr>
          <w:rFonts w:ascii="Arial" w:hAnsi="Arial" w:cs="Arial"/>
          <w:sz w:val="24"/>
          <w:szCs w:val="24"/>
          <w:lang w:val="tr-TR"/>
        </w:rPr>
        <w:t xml:space="preserve"> </w:t>
      </w:r>
      <w:r w:rsidRPr="00585E68">
        <w:rPr>
          <w:rFonts w:ascii="Arial" w:hAnsi="Arial" w:cs="Arial"/>
          <w:sz w:val="24"/>
          <w:szCs w:val="24"/>
          <w:lang w:val="tr-TR"/>
        </w:rPr>
        <w:t>daha yüksek düzeyde</w:t>
      </w:r>
      <w:r w:rsidR="0011725E" w:rsidRPr="00585E68">
        <w:rPr>
          <w:rFonts w:ascii="Arial" w:hAnsi="Arial" w:cs="Arial"/>
          <w:sz w:val="24"/>
          <w:szCs w:val="24"/>
        </w:rPr>
        <w:t xml:space="preserve"> kurumsal kalite</w:t>
      </w:r>
      <w:r w:rsidR="00F407FA" w:rsidRPr="00585E68">
        <w:rPr>
          <w:rFonts w:ascii="Arial" w:hAnsi="Arial" w:cs="Arial"/>
          <w:sz w:val="24"/>
          <w:szCs w:val="24"/>
          <w:lang w:val="tr-TR"/>
        </w:rPr>
        <w:t xml:space="preserve">ye ulaşılması </w:t>
      </w:r>
      <w:r w:rsidR="001A73B8" w:rsidRPr="00585E68">
        <w:rPr>
          <w:rFonts w:ascii="Arial" w:hAnsi="Arial" w:cs="Arial"/>
          <w:sz w:val="24"/>
          <w:szCs w:val="24"/>
          <w:lang w:val="tr-TR"/>
        </w:rPr>
        <w:t>ve</w:t>
      </w:r>
      <w:r w:rsidR="0011725E" w:rsidRPr="00585E68">
        <w:rPr>
          <w:rFonts w:ascii="Arial" w:hAnsi="Arial" w:cs="Arial"/>
          <w:sz w:val="24"/>
          <w:szCs w:val="24"/>
        </w:rPr>
        <w:t xml:space="preserve"> </w:t>
      </w:r>
      <w:r w:rsidR="001A73B8" w:rsidRPr="00585E68">
        <w:rPr>
          <w:rFonts w:ascii="Arial" w:hAnsi="Arial" w:cs="Arial"/>
          <w:sz w:val="24"/>
          <w:szCs w:val="24"/>
          <w:lang w:val="tr-TR"/>
        </w:rPr>
        <w:t xml:space="preserve">belirsizliklerin </w:t>
      </w:r>
      <w:r w:rsidRPr="00585E68">
        <w:rPr>
          <w:rFonts w:ascii="Arial" w:hAnsi="Arial" w:cs="Arial"/>
          <w:sz w:val="24"/>
          <w:szCs w:val="24"/>
          <w:lang w:val="tr-TR"/>
        </w:rPr>
        <w:t>asgariye</w:t>
      </w:r>
      <w:r w:rsidR="001A73B8" w:rsidRPr="00585E68">
        <w:rPr>
          <w:rFonts w:ascii="Arial" w:hAnsi="Arial" w:cs="Arial"/>
          <w:sz w:val="24"/>
          <w:szCs w:val="24"/>
          <w:lang w:val="tr-TR"/>
        </w:rPr>
        <w:t xml:space="preserve"> indirilmesi için </w:t>
      </w:r>
      <w:r w:rsidR="0011725E" w:rsidRPr="00585E68">
        <w:rPr>
          <w:rFonts w:ascii="Arial" w:hAnsi="Arial" w:cs="Arial"/>
          <w:sz w:val="24"/>
          <w:szCs w:val="24"/>
        </w:rPr>
        <w:t xml:space="preserve">kurallılık temelinde şeffaflık, hesap verebilirlik </w:t>
      </w:r>
      <w:r w:rsidR="00F407FA" w:rsidRPr="00585E68">
        <w:rPr>
          <w:rFonts w:ascii="Arial" w:hAnsi="Arial" w:cs="Arial"/>
          <w:sz w:val="24"/>
          <w:szCs w:val="24"/>
        </w:rPr>
        <w:t>ve hukukun üstünlüğü ilkeleri</w:t>
      </w:r>
      <w:r w:rsidR="0011725E" w:rsidRPr="00585E68">
        <w:rPr>
          <w:rFonts w:ascii="Arial" w:hAnsi="Arial" w:cs="Arial"/>
          <w:sz w:val="24"/>
          <w:szCs w:val="24"/>
        </w:rPr>
        <w:t xml:space="preserve"> </w:t>
      </w:r>
      <w:r w:rsidR="00E45A18">
        <w:rPr>
          <w:rFonts w:ascii="Arial" w:hAnsi="Arial" w:cs="Arial"/>
          <w:sz w:val="24"/>
          <w:szCs w:val="24"/>
          <w:lang w:val="tr-TR"/>
        </w:rPr>
        <w:t>esas alınmaya devam edilecektir</w:t>
      </w:r>
      <w:r w:rsidR="0011725E" w:rsidRPr="00585E68">
        <w:rPr>
          <w:rFonts w:ascii="Arial" w:hAnsi="Arial" w:cs="Arial"/>
          <w:sz w:val="24"/>
          <w:szCs w:val="24"/>
        </w:rPr>
        <w:t xml:space="preserve">. </w:t>
      </w:r>
      <w:r w:rsidR="004E0DE7">
        <w:rPr>
          <w:rFonts w:ascii="Arial" w:hAnsi="Arial" w:cs="Arial"/>
          <w:sz w:val="24"/>
          <w:szCs w:val="24"/>
          <w:lang w:val="tr-TR"/>
        </w:rPr>
        <w:t>Firmaların k</w:t>
      </w:r>
      <w:proofErr w:type="spellStart"/>
      <w:r w:rsidR="00A37DAB" w:rsidRPr="00585E68">
        <w:rPr>
          <w:rFonts w:ascii="Arial" w:hAnsi="Arial" w:cs="Arial"/>
          <w:sz w:val="24"/>
          <w:szCs w:val="24"/>
        </w:rPr>
        <w:t>urumsal</w:t>
      </w:r>
      <w:proofErr w:type="spellEnd"/>
      <w:r w:rsidR="00A37DAB" w:rsidRPr="00585E68">
        <w:rPr>
          <w:rFonts w:ascii="Arial" w:hAnsi="Arial" w:cs="Arial"/>
          <w:sz w:val="24"/>
          <w:szCs w:val="24"/>
        </w:rPr>
        <w:t xml:space="preserve"> </w:t>
      </w:r>
      <w:r w:rsidR="00A37DAB" w:rsidRPr="00585E68">
        <w:rPr>
          <w:rFonts w:ascii="Arial" w:hAnsi="Arial" w:cs="Arial"/>
          <w:sz w:val="24"/>
          <w:szCs w:val="24"/>
          <w:lang w:val="tr-TR"/>
        </w:rPr>
        <w:t xml:space="preserve">kapasitelerinin ve </w:t>
      </w:r>
      <w:r w:rsidR="00A37DAB" w:rsidRPr="00585E68">
        <w:rPr>
          <w:rFonts w:ascii="Arial" w:hAnsi="Arial" w:cs="Arial"/>
          <w:sz w:val="24"/>
          <w:szCs w:val="24"/>
        </w:rPr>
        <w:t>kalite</w:t>
      </w:r>
      <w:r w:rsidR="00A37DAB" w:rsidRPr="00585E68">
        <w:rPr>
          <w:rFonts w:ascii="Arial" w:hAnsi="Arial" w:cs="Arial"/>
          <w:sz w:val="24"/>
          <w:szCs w:val="24"/>
          <w:lang w:val="tr-TR"/>
        </w:rPr>
        <w:t>leri</w:t>
      </w:r>
      <w:proofErr w:type="spellStart"/>
      <w:r w:rsidR="00A37DAB" w:rsidRPr="00585E68">
        <w:rPr>
          <w:rFonts w:ascii="Arial" w:hAnsi="Arial" w:cs="Arial"/>
          <w:sz w:val="24"/>
          <w:szCs w:val="24"/>
        </w:rPr>
        <w:t>nin</w:t>
      </w:r>
      <w:proofErr w:type="spellEnd"/>
      <w:r w:rsidR="00A37DAB" w:rsidRPr="00585E68">
        <w:rPr>
          <w:rFonts w:ascii="Arial" w:hAnsi="Arial" w:cs="Arial"/>
          <w:sz w:val="24"/>
          <w:szCs w:val="24"/>
        </w:rPr>
        <w:t xml:space="preserve"> </w:t>
      </w:r>
      <w:r w:rsidR="00A37DAB" w:rsidRPr="00585E68">
        <w:rPr>
          <w:rFonts w:ascii="Arial" w:hAnsi="Arial" w:cs="Arial"/>
          <w:sz w:val="24"/>
          <w:szCs w:val="24"/>
          <w:lang w:val="tr-TR"/>
        </w:rPr>
        <w:t xml:space="preserve">yükseltilmesiyle </w:t>
      </w:r>
      <w:r w:rsidR="00A37DAB" w:rsidRPr="00585E68">
        <w:rPr>
          <w:rFonts w:ascii="Arial" w:hAnsi="Arial" w:cs="Arial"/>
          <w:sz w:val="24"/>
          <w:szCs w:val="24"/>
        </w:rPr>
        <w:t xml:space="preserve">istikrarlı ve yüksek büyümeye katkı </w:t>
      </w:r>
      <w:r w:rsidR="00A37DAB" w:rsidRPr="00585E68">
        <w:rPr>
          <w:rFonts w:ascii="Arial" w:hAnsi="Arial" w:cs="Arial"/>
          <w:sz w:val="24"/>
          <w:szCs w:val="24"/>
          <w:lang w:val="tr-TR"/>
        </w:rPr>
        <w:t>düzeyleri de artırılacaktır</w:t>
      </w:r>
      <w:r w:rsidR="00A37DAB" w:rsidRPr="00585E68">
        <w:rPr>
          <w:rFonts w:ascii="Arial" w:hAnsi="Arial" w:cs="Arial"/>
          <w:sz w:val="24"/>
          <w:szCs w:val="24"/>
        </w:rPr>
        <w:t>.</w:t>
      </w:r>
    </w:p>
    <w:p w:rsidR="00942B8E" w:rsidRPr="00585E68" w:rsidRDefault="00942B8E"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Ha</w:t>
      </w:r>
      <w:r w:rsidR="00660128" w:rsidRPr="00585E68">
        <w:rPr>
          <w:rFonts w:ascii="Arial" w:hAnsi="Arial" w:cs="Arial"/>
          <w:sz w:val="24"/>
          <w:szCs w:val="24"/>
        </w:rPr>
        <w:t xml:space="preserve">rcanabilir gelir artışıyla </w:t>
      </w:r>
      <w:proofErr w:type="spellStart"/>
      <w:r w:rsidR="00660128" w:rsidRPr="00585E68">
        <w:rPr>
          <w:rFonts w:ascii="Arial" w:hAnsi="Arial" w:cs="Arial"/>
          <w:sz w:val="24"/>
          <w:szCs w:val="24"/>
        </w:rPr>
        <w:t>uyum</w:t>
      </w:r>
      <w:r w:rsidR="00660128" w:rsidRPr="00585E68">
        <w:rPr>
          <w:rFonts w:ascii="Arial" w:hAnsi="Arial" w:cs="Arial"/>
          <w:sz w:val="24"/>
          <w:szCs w:val="24"/>
          <w:lang w:val="tr-TR"/>
        </w:rPr>
        <w:t>s</w:t>
      </w:r>
      <w:proofErr w:type="spellEnd"/>
      <w:r w:rsidRPr="00585E68">
        <w:rPr>
          <w:rFonts w:ascii="Arial" w:hAnsi="Arial" w:cs="Arial"/>
          <w:sz w:val="24"/>
          <w:szCs w:val="24"/>
        </w:rPr>
        <w:t>u</w:t>
      </w:r>
      <w:r w:rsidR="00660128" w:rsidRPr="00585E68">
        <w:rPr>
          <w:rFonts w:ascii="Arial" w:hAnsi="Arial" w:cs="Arial"/>
          <w:sz w:val="24"/>
          <w:szCs w:val="24"/>
          <w:lang w:val="tr-TR"/>
        </w:rPr>
        <w:t>z</w:t>
      </w:r>
      <w:r w:rsidRPr="00585E68">
        <w:rPr>
          <w:rFonts w:ascii="Arial" w:hAnsi="Arial" w:cs="Arial"/>
          <w:sz w:val="24"/>
          <w:szCs w:val="24"/>
        </w:rPr>
        <w:t xml:space="preserve"> bir özel tüketim yapısının </w:t>
      </w:r>
      <w:r w:rsidR="000A7760" w:rsidRPr="00585E68">
        <w:rPr>
          <w:rFonts w:ascii="Arial" w:hAnsi="Arial" w:cs="Arial"/>
          <w:sz w:val="24"/>
          <w:szCs w:val="24"/>
        </w:rPr>
        <w:t>oluşması</w:t>
      </w:r>
      <w:r w:rsidR="00660128" w:rsidRPr="00585E68">
        <w:rPr>
          <w:rFonts w:ascii="Arial" w:hAnsi="Arial" w:cs="Arial"/>
          <w:sz w:val="24"/>
          <w:szCs w:val="24"/>
          <w:lang w:val="tr-TR"/>
        </w:rPr>
        <w:t xml:space="preserve"> durumunda</w:t>
      </w:r>
      <w:r w:rsidRPr="00585E68">
        <w:rPr>
          <w:rFonts w:ascii="Arial" w:hAnsi="Arial" w:cs="Arial"/>
          <w:sz w:val="24"/>
          <w:szCs w:val="24"/>
        </w:rPr>
        <w:t xml:space="preserve"> makro ihtiyati tedbirler</w:t>
      </w:r>
      <w:r w:rsidR="00660128" w:rsidRPr="00585E68">
        <w:rPr>
          <w:rFonts w:ascii="Arial" w:hAnsi="Arial" w:cs="Arial"/>
          <w:sz w:val="24"/>
          <w:szCs w:val="24"/>
          <w:lang w:val="tr-TR"/>
        </w:rPr>
        <w:t>e</w:t>
      </w:r>
      <w:r w:rsidRPr="00585E68">
        <w:rPr>
          <w:rFonts w:ascii="Arial" w:hAnsi="Arial" w:cs="Arial"/>
          <w:sz w:val="24"/>
          <w:szCs w:val="24"/>
        </w:rPr>
        <w:t xml:space="preserve"> </w:t>
      </w:r>
      <w:r w:rsidR="00660128" w:rsidRPr="00585E68">
        <w:rPr>
          <w:rFonts w:ascii="Arial" w:hAnsi="Arial" w:cs="Arial"/>
          <w:sz w:val="24"/>
          <w:szCs w:val="24"/>
          <w:lang w:val="tr-TR"/>
        </w:rPr>
        <w:t>başvurulacaktır</w:t>
      </w:r>
      <w:r w:rsidRPr="00585E68">
        <w:rPr>
          <w:rFonts w:ascii="Arial" w:hAnsi="Arial" w:cs="Arial"/>
          <w:sz w:val="24"/>
          <w:szCs w:val="24"/>
        </w:rPr>
        <w:t>.</w:t>
      </w:r>
    </w:p>
    <w:p w:rsidR="00942B8E" w:rsidRPr="00585E68" w:rsidRDefault="00942B8E"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Hem kamu hem de özel kesimde israfı azaltmaya</w:t>
      </w:r>
      <w:r w:rsidR="009F2E04" w:rsidRPr="00585E68">
        <w:rPr>
          <w:rFonts w:ascii="Arial" w:hAnsi="Arial" w:cs="Arial"/>
          <w:sz w:val="24"/>
          <w:szCs w:val="24"/>
          <w:lang w:val="tr-TR"/>
        </w:rPr>
        <w:t xml:space="preserve"> ve </w:t>
      </w:r>
      <w:r w:rsidR="009F2E04" w:rsidRPr="00585E68">
        <w:rPr>
          <w:rFonts w:ascii="Arial" w:hAnsi="Arial" w:cs="Arial"/>
          <w:sz w:val="24"/>
          <w:szCs w:val="24"/>
        </w:rPr>
        <w:t>tasarruf bilincinin yerleştirilmesine</w:t>
      </w:r>
      <w:r w:rsidRPr="00585E68">
        <w:rPr>
          <w:rFonts w:ascii="Arial" w:hAnsi="Arial" w:cs="Arial"/>
          <w:sz w:val="24"/>
          <w:szCs w:val="24"/>
        </w:rPr>
        <w:t xml:space="preserve"> yönelik politikalar uygulanacaktır.</w:t>
      </w:r>
    </w:p>
    <w:p w:rsidR="005B7C3E" w:rsidRPr="00585E68" w:rsidRDefault="00954A03"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lang w:val="tr-TR"/>
        </w:rPr>
        <w:t>Yurt içi</w:t>
      </w:r>
      <w:r w:rsidR="00787BC9" w:rsidRPr="00585E68">
        <w:rPr>
          <w:rFonts w:ascii="Arial" w:hAnsi="Arial" w:cs="Arial"/>
          <w:sz w:val="24"/>
          <w:szCs w:val="24"/>
          <w:lang w:val="tr-TR"/>
        </w:rPr>
        <w:t xml:space="preserve"> üretimde</w:t>
      </w:r>
      <w:r w:rsidR="005B7C3E" w:rsidRPr="00585E68">
        <w:rPr>
          <w:rFonts w:ascii="Arial" w:hAnsi="Arial" w:cs="Arial"/>
          <w:sz w:val="24"/>
          <w:szCs w:val="24"/>
        </w:rPr>
        <w:t xml:space="preserve"> </w:t>
      </w:r>
      <w:r w:rsidR="00787BC9" w:rsidRPr="00585E68">
        <w:rPr>
          <w:rFonts w:ascii="Arial" w:hAnsi="Arial" w:cs="Arial"/>
          <w:sz w:val="24"/>
          <w:szCs w:val="24"/>
          <w:lang w:val="tr-TR"/>
        </w:rPr>
        <w:t xml:space="preserve">işgücü, </w:t>
      </w:r>
      <w:r w:rsidR="005B7C3E" w:rsidRPr="00585E68">
        <w:rPr>
          <w:rFonts w:ascii="Arial" w:hAnsi="Arial" w:cs="Arial"/>
          <w:sz w:val="24"/>
          <w:szCs w:val="24"/>
        </w:rPr>
        <w:t>enerji</w:t>
      </w:r>
      <w:r w:rsidR="00787BC9" w:rsidRPr="00585E68">
        <w:rPr>
          <w:rFonts w:ascii="Arial" w:hAnsi="Arial" w:cs="Arial"/>
          <w:sz w:val="24"/>
          <w:szCs w:val="24"/>
          <w:lang w:val="tr-TR"/>
        </w:rPr>
        <w:t xml:space="preserve"> ve</w:t>
      </w:r>
      <w:r w:rsidR="005B7C3E" w:rsidRPr="00585E68">
        <w:rPr>
          <w:rFonts w:ascii="Arial" w:hAnsi="Arial" w:cs="Arial"/>
          <w:sz w:val="24"/>
          <w:szCs w:val="24"/>
        </w:rPr>
        <w:t xml:space="preserve"> ulaşım gibi</w:t>
      </w:r>
      <w:r w:rsidR="0009644D" w:rsidRPr="00585E68">
        <w:rPr>
          <w:rFonts w:ascii="Arial" w:hAnsi="Arial" w:cs="Arial"/>
          <w:sz w:val="24"/>
          <w:szCs w:val="24"/>
          <w:lang w:val="tr-TR"/>
        </w:rPr>
        <w:t xml:space="preserve"> alanlarda</w:t>
      </w:r>
      <w:r w:rsidR="005B7C3E" w:rsidRPr="00585E68">
        <w:rPr>
          <w:rFonts w:ascii="Arial" w:hAnsi="Arial" w:cs="Arial"/>
          <w:sz w:val="24"/>
          <w:szCs w:val="24"/>
        </w:rPr>
        <w:t xml:space="preserve"> üretim maliyetlerinin düşürülmesine yönelik tedbirler</w:t>
      </w:r>
      <w:r w:rsidR="001A16D1" w:rsidRPr="00585E68">
        <w:rPr>
          <w:rFonts w:ascii="Arial" w:hAnsi="Arial" w:cs="Arial"/>
          <w:sz w:val="24"/>
          <w:szCs w:val="24"/>
          <w:lang w:val="tr-TR"/>
        </w:rPr>
        <w:t xml:space="preserve"> kamu mali dengeleri gözetilerek</w:t>
      </w:r>
      <w:r w:rsidR="005B7C3E" w:rsidRPr="00585E68">
        <w:rPr>
          <w:rFonts w:ascii="Arial" w:hAnsi="Arial" w:cs="Arial"/>
          <w:sz w:val="24"/>
          <w:szCs w:val="24"/>
        </w:rPr>
        <w:t xml:space="preserve"> </w:t>
      </w:r>
      <w:r w:rsidR="00787BC9" w:rsidRPr="00585E68">
        <w:rPr>
          <w:rFonts w:ascii="Arial" w:hAnsi="Arial" w:cs="Arial"/>
          <w:sz w:val="24"/>
          <w:szCs w:val="24"/>
          <w:lang w:val="tr-TR"/>
        </w:rPr>
        <w:t xml:space="preserve">uygulamaya konulacaktır. </w:t>
      </w:r>
    </w:p>
    <w:p w:rsidR="005B7C3E" w:rsidRPr="00585E68" w:rsidRDefault="00787BC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lang w:val="tr-TR"/>
        </w:rPr>
        <w:lastRenderedPageBreak/>
        <w:t>B</w:t>
      </w:r>
      <w:r w:rsidRPr="00585E68">
        <w:rPr>
          <w:rFonts w:ascii="Arial" w:hAnsi="Arial" w:cs="Arial"/>
          <w:sz w:val="24"/>
          <w:szCs w:val="24"/>
        </w:rPr>
        <w:t>ilgi ve iletişim teknolojileri kullanımının yaygınlaştırılması</w:t>
      </w:r>
      <w:r w:rsidRPr="00585E68">
        <w:rPr>
          <w:rFonts w:ascii="Arial" w:hAnsi="Arial" w:cs="Arial"/>
          <w:sz w:val="24"/>
          <w:szCs w:val="24"/>
          <w:lang w:val="tr-TR"/>
        </w:rPr>
        <w:t>yla özellikle</w:t>
      </w:r>
      <w:r w:rsidRPr="00585E68">
        <w:rPr>
          <w:rFonts w:ascii="Arial" w:hAnsi="Arial" w:cs="Arial"/>
          <w:sz w:val="24"/>
          <w:szCs w:val="24"/>
        </w:rPr>
        <w:t xml:space="preserve"> </w:t>
      </w:r>
      <w:r w:rsidRPr="00585E68">
        <w:rPr>
          <w:rFonts w:ascii="Arial" w:hAnsi="Arial" w:cs="Arial"/>
          <w:sz w:val="24"/>
          <w:szCs w:val="24"/>
          <w:lang w:val="tr-TR"/>
        </w:rPr>
        <w:t>h</w:t>
      </w:r>
      <w:proofErr w:type="spellStart"/>
      <w:r w:rsidR="005B7C3E" w:rsidRPr="00585E68">
        <w:rPr>
          <w:rFonts w:ascii="Arial" w:hAnsi="Arial" w:cs="Arial"/>
          <w:sz w:val="24"/>
          <w:szCs w:val="24"/>
        </w:rPr>
        <w:t>izmetler</w:t>
      </w:r>
      <w:proofErr w:type="spellEnd"/>
      <w:r w:rsidR="005B7C3E" w:rsidRPr="00585E68">
        <w:rPr>
          <w:rFonts w:ascii="Arial" w:hAnsi="Arial" w:cs="Arial"/>
          <w:sz w:val="24"/>
          <w:szCs w:val="24"/>
        </w:rPr>
        <w:t xml:space="preserve"> sektöründe </w:t>
      </w:r>
      <w:r w:rsidRPr="00585E68">
        <w:rPr>
          <w:rFonts w:ascii="Arial" w:hAnsi="Arial" w:cs="Arial"/>
          <w:sz w:val="24"/>
          <w:szCs w:val="24"/>
          <w:lang w:val="tr-TR"/>
        </w:rPr>
        <w:t xml:space="preserve">yüksek </w:t>
      </w:r>
      <w:r w:rsidR="005B7C3E" w:rsidRPr="00585E68">
        <w:rPr>
          <w:rFonts w:ascii="Arial" w:hAnsi="Arial" w:cs="Arial"/>
          <w:sz w:val="24"/>
          <w:szCs w:val="24"/>
        </w:rPr>
        <w:t xml:space="preserve">katma </w:t>
      </w:r>
      <w:proofErr w:type="spellStart"/>
      <w:r w:rsidR="005B7C3E" w:rsidRPr="00585E68">
        <w:rPr>
          <w:rFonts w:ascii="Arial" w:hAnsi="Arial" w:cs="Arial"/>
          <w:sz w:val="24"/>
          <w:szCs w:val="24"/>
        </w:rPr>
        <w:t>değer</w:t>
      </w:r>
      <w:r w:rsidRPr="00585E68">
        <w:rPr>
          <w:rFonts w:ascii="Arial" w:hAnsi="Arial" w:cs="Arial"/>
          <w:sz w:val="24"/>
          <w:szCs w:val="24"/>
          <w:lang w:val="tr-TR"/>
        </w:rPr>
        <w:t>l</w:t>
      </w:r>
      <w:proofErr w:type="spellEnd"/>
      <w:r w:rsidR="005B7C3E" w:rsidRPr="00585E68">
        <w:rPr>
          <w:rFonts w:ascii="Arial" w:hAnsi="Arial" w:cs="Arial"/>
          <w:sz w:val="24"/>
          <w:szCs w:val="24"/>
        </w:rPr>
        <w:t xml:space="preserve">i </w:t>
      </w:r>
      <w:r w:rsidRPr="00585E68">
        <w:rPr>
          <w:rFonts w:ascii="Arial" w:hAnsi="Arial" w:cs="Arial"/>
          <w:sz w:val="24"/>
          <w:szCs w:val="24"/>
          <w:lang w:val="tr-TR"/>
        </w:rPr>
        <w:t xml:space="preserve">üretim ve </w:t>
      </w:r>
      <w:r w:rsidR="005B7C3E" w:rsidRPr="00585E68">
        <w:rPr>
          <w:rFonts w:ascii="Arial" w:hAnsi="Arial" w:cs="Arial"/>
          <w:sz w:val="24"/>
          <w:szCs w:val="24"/>
        </w:rPr>
        <w:t xml:space="preserve">ihracatın artırılması sağlanacaktır. </w:t>
      </w:r>
      <w:r w:rsidR="00E45A18">
        <w:rPr>
          <w:rFonts w:ascii="Arial" w:hAnsi="Arial" w:cs="Arial"/>
          <w:sz w:val="24"/>
          <w:szCs w:val="24"/>
          <w:lang w:val="tr-TR"/>
        </w:rPr>
        <w:t xml:space="preserve">Yeni Bilgi Toplumu Stratejisi </w:t>
      </w:r>
      <w:r w:rsidR="00032574">
        <w:rPr>
          <w:rFonts w:ascii="Arial" w:hAnsi="Arial" w:cs="Arial"/>
          <w:sz w:val="24"/>
          <w:szCs w:val="24"/>
          <w:lang w:val="tr-TR"/>
        </w:rPr>
        <w:t>uygulanmaya başlanacaktır</w:t>
      </w:r>
      <w:r w:rsidR="00E45A18">
        <w:rPr>
          <w:rFonts w:ascii="Arial" w:hAnsi="Arial" w:cs="Arial"/>
          <w:sz w:val="24"/>
          <w:szCs w:val="24"/>
          <w:lang w:val="tr-TR"/>
        </w:rPr>
        <w:t>.</w:t>
      </w:r>
    </w:p>
    <w:p w:rsidR="005B7C3E" w:rsidRPr="00585E68" w:rsidRDefault="005B7C3E"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Ekonominin enerji yoğunluğunu azaltmak üzere enerji verimliliği</w:t>
      </w:r>
      <w:r w:rsidR="006B0AD6">
        <w:rPr>
          <w:rFonts w:ascii="Arial" w:hAnsi="Arial" w:cs="Arial"/>
          <w:sz w:val="24"/>
          <w:szCs w:val="24"/>
          <w:lang w:val="tr-TR"/>
        </w:rPr>
        <w:t>ne yönelik</w:t>
      </w:r>
      <w:r w:rsidRPr="00585E68">
        <w:rPr>
          <w:rFonts w:ascii="Arial" w:hAnsi="Arial" w:cs="Arial"/>
          <w:sz w:val="24"/>
          <w:szCs w:val="24"/>
        </w:rPr>
        <w:t xml:space="preserve"> </w:t>
      </w:r>
      <w:r w:rsidR="00032574">
        <w:rPr>
          <w:rFonts w:ascii="Arial" w:hAnsi="Arial" w:cs="Arial"/>
          <w:sz w:val="24"/>
          <w:szCs w:val="24"/>
          <w:lang w:val="tr-TR"/>
        </w:rPr>
        <w:t xml:space="preserve">özel </w:t>
      </w:r>
      <w:r w:rsidR="006B0AD6">
        <w:rPr>
          <w:rFonts w:ascii="Arial" w:hAnsi="Arial" w:cs="Arial"/>
          <w:sz w:val="24"/>
          <w:szCs w:val="24"/>
          <w:lang w:val="tr-TR"/>
        </w:rPr>
        <w:t>tedbirler alınacaktır</w:t>
      </w:r>
      <w:r w:rsidRPr="00585E68">
        <w:rPr>
          <w:rFonts w:ascii="Arial" w:hAnsi="Arial" w:cs="Arial"/>
          <w:sz w:val="24"/>
          <w:szCs w:val="24"/>
        </w:rPr>
        <w:t xml:space="preserve">. </w:t>
      </w:r>
    </w:p>
    <w:p w:rsidR="005B7C3E" w:rsidRPr="00585E68" w:rsidRDefault="005B7C3E"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Ar-Ge tabanlı, yenilikçi</w:t>
      </w:r>
      <w:r w:rsidR="00C76147" w:rsidRPr="00585E68">
        <w:rPr>
          <w:rFonts w:ascii="Arial" w:hAnsi="Arial" w:cs="Arial"/>
          <w:sz w:val="24"/>
          <w:szCs w:val="24"/>
          <w:lang w:val="tr-TR"/>
        </w:rPr>
        <w:t>, çevre dostu</w:t>
      </w:r>
      <w:r w:rsidRPr="00585E68">
        <w:rPr>
          <w:rFonts w:ascii="Arial" w:hAnsi="Arial" w:cs="Arial"/>
          <w:sz w:val="24"/>
          <w:szCs w:val="24"/>
        </w:rPr>
        <w:t xml:space="preserve"> ve yüksek katma değer yaratan üretim</w:t>
      </w:r>
      <w:r w:rsidR="00C76147" w:rsidRPr="00585E68">
        <w:rPr>
          <w:rFonts w:ascii="Arial" w:hAnsi="Arial" w:cs="Arial"/>
          <w:sz w:val="24"/>
          <w:szCs w:val="24"/>
          <w:lang w:val="tr-TR"/>
        </w:rPr>
        <w:t xml:space="preserve"> yapısı</w:t>
      </w:r>
      <w:r w:rsidRPr="00585E68">
        <w:rPr>
          <w:rFonts w:ascii="Arial" w:hAnsi="Arial" w:cs="Arial"/>
          <w:sz w:val="24"/>
          <w:szCs w:val="24"/>
        </w:rPr>
        <w:t xml:space="preserve"> </w:t>
      </w:r>
      <w:r w:rsidR="00C76147" w:rsidRPr="00585E68">
        <w:rPr>
          <w:rFonts w:ascii="Arial" w:hAnsi="Arial" w:cs="Arial"/>
          <w:sz w:val="24"/>
          <w:szCs w:val="24"/>
        </w:rPr>
        <w:t>desteklen</w:t>
      </w:r>
      <w:r w:rsidR="00C76147" w:rsidRPr="00585E68">
        <w:rPr>
          <w:rFonts w:ascii="Arial" w:hAnsi="Arial" w:cs="Arial"/>
          <w:sz w:val="24"/>
          <w:szCs w:val="24"/>
          <w:lang w:val="tr-TR"/>
        </w:rPr>
        <w:t>e</w:t>
      </w:r>
      <w:r w:rsidR="00CA298A" w:rsidRPr="00585E68">
        <w:rPr>
          <w:rFonts w:ascii="Arial" w:hAnsi="Arial" w:cs="Arial"/>
          <w:sz w:val="24"/>
          <w:szCs w:val="24"/>
          <w:lang w:val="tr-TR"/>
        </w:rPr>
        <w:t>cek</w:t>
      </w:r>
      <w:r w:rsidR="00E25A6E" w:rsidRPr="00585E68">
        <w:rPr>
          <w:rFonts w:ascii="Arial" w:hAnsi="Arial" w:cs="Arial"/>
          <w:sz w:val="24"/>
          <w:szCs w:val="24"/>
          <w:lang w:val="tr-TR"/>
        </w:rPr>
        <w:t xml:space="preserve">, </w:t>
      </w:r>
      <w:r w:rsidR="00CA298A" w:rsidRPr="00585E68">
        <w:rPr>
          <w:rFonts w:ascii="Arial" w:hAnsi="Arial" w:cs="Arial"/>
          <w:sz w:val="24"/>
          <w:szCs w:val="24"/>
          <w:lang w:val="tr-TR"/>
        </w:rPr>
        <w:t>elde edilecek</w:t>
      </w:r>
      <w:r w:rsidR="00BD7768" w:rsidRPr="00585E68">
        <w:rPr>
          <w:rFonts w:ascii="Arial" w:hAnsi="Arial" w:cs="Arial"/>
          <w:sz w:val="24"/>
          <w:szCs w:val="24"/>
          <w:lang w:val="tr-TR"/>
        </w:rPr>
        <w:t xml:space="preserve"> </w:t>
      </w:r>
      <w:r w:rsidR="00A04A5D" w:rsidRPr="00585E68">
        <w:rPr>
          <w:rFonts w:ascii="Arial" w:hAnsi="Arial" w:cs="Arial"/>
          <w:sz w:val="24"/>
          <w:szCs w:val="24"/>
          <w:lang w:val="tr-TR"/>
        </w:rPr>
        <w:t>ürünleri</w:t>
      </w:r>
      <w:r w:rsidR="00607A6B" w:rsidRPr="00585E68">
        <w:rPr>
          <w:rFonts w:ascii="Arial" w:hAnsi="Arial" w:cs="Arial"/>
          <w:sz w:val="24"/>
          <w:szCs w:val="24"/>
          <w:lang w:val="tr-TR"/>
        </w:rPr>
        <w:t>n</w:t>
      </w:r>
      <w:r w:rsidR="00BD7768" w:rsidRPr="00585E68">
        <w:rPr>
          <w:rFonts w:ascii="Arial" w:hAnsi="Arial" w:cs="Arial"/>
          <w:sz w:val="24"/>
          <w:szCs w:val="24"/>
          <w:lang w:val="tr-TR"/>
        </w:rPr>
        <w:t xml:space="preserve"> </w:t>
      </w:r>
      <w:r w:rsidR="00BD7768" w:rsidRPr="00585E68">
        <w:rPr>
          <w:rFonts w:ascii="Arial" w:hAnsi="Arial" w:cs="Arial"/>
          <w:sz w:val="24"/>
          <w:szCs w:val="24"/>
        </w:rPr>
        <w:t xml:space="preserve">ticarileştirme </w:t>
      </w:r>
      <w:r w:rsidRPr="00585E68">
        <w:rPr>
          <w:rFonts w:ascii="Arial" w:hAnsi="Arial" w:cs="Arial"/>
          <w:sz w:val="24"/>
          <w:szCs w:val="24"/>
        </w:rPr>
        <w:t>ve markalaş</w:t>
      </w:r>
      <w:r w:rsidR="00A04A5D" w:rsidRPr="00585E68">
        <w:rPr>
          <w:rFonts w:ascii="Arial" w:hAnsi="Arial" w:cs="Arial"/>
          <w:sz w:val="24"/>
          <w:szCs w:val="24"/>
          <w:lang w:val="tr-TR"/>
        </w:rPr>
        <w:t>tır</w:t>
      </w:r>
      <w:proofErr w:type="spellStart"/>
      <w:r w:rsidRPr="00585E68">
        <w:rPr>
          <w:rFonts w:ascii="Arial" w:hAnsi="Arial" w:cs="Arial"/>
          <w:sz w:val="24"/>
          <w:szCs w:val="24"/>
        </w:rPr>
        <w:t>ma</w:t>
      </w:r>
      <w:proofErr w:type="spellEnd"/>
      <w:r w:rsidRPr="00585E68">
        <w:rPr>
          <w:rFonts w:ascii="Arial" w:hAnsi="Arial" w:cs="Arial"/>
          <w:sz w:val="24"/>
          <w:szCs w:val="24"/>
        </w:rPr>
        <w:t xml:space="preserve"> süreçleri</w:t>
      </w:r>
      <w:r w:rsidR="00607A6B" w:rsidRPr="00585E68">
        <w:rPr>
          <w:rFonts w:ascii="Arial" w:hAnsi="Arial" w:cs="Arial"/>
          <w:sz w:val="24"/>
          <w:szCs w:val="24"/>
          <w:lang w:val="tr-TR"/>
        </w:rPr>
        <w:t>ne işlerlik</w:t>
      </w:r>
      <w:r w:rsidR="00BA2780" w:rsidRPr="00585E68">
        <w:rPr>
          <w:rFonts w:ascii="Arial" w:hAnsi="Arial" w:cs="Arial"/>
          <w:sz w:val="24"/>
          <w:szCs w:val="24"/>
          <w:lang w:val="tr-TR"/>
        </w:rPr>
        <w:t xml:space="preserve"> </w:t>
      </w:r>
      <w:r w:rsidR="00E25A6E" w:rsidRPr="00585E68">
        <w:rPr>
          <w:rFonts w:ascii="Arial" w:hAnsi="Arial" w:cs="Arial"/>
          <w:sz w:val="24"/>
          <w:szCs w:val="24"/>
          <w:lang w:val="tr-TR"/>
        </w:rPr>
        <w:t xml:space="preserve">kazandırılacak ve </w:t>
      </w:r>
      <w:r w:rsidR="00B41FCB">
        <w:rPr>
          <w:rFonts w:ascii="Arial" w:hAnsi="Arial" w:cs="Arial"/>
          <w:sz w:val="24"/>
          <w:szCs w:val="24"/>
          <w:lang w:val="tr-TR"/>
        </w:rPr>
        <w:t xml:space="preserve">bu alanlardaki </w:t>
      </w:r>
      <w:r w:rsidR="00E25A6E" w:rsidRPr="00585E68">
        <w:rPr>
          <w:rFonts w:ascii="Arial" w:hAnsi="Arial" w:cs="Arial"/>
          <w:sz w:val="24"/>
          <w:szCs w:val="24"/>
          <w:lang w:val="tr-TR"/>
        </w:rPr>
        <w:t>mikro reformlar hızlandırılacaktır</w:t>
      </w:r>
      <w:r w:rsidRPr="00585E68">
        <w:rPr>
          <w:rFonts w:ascii="Arial" w:hAnsi="Arial" w:cs="Arial"/>
          <w:sz w:val="24"/>
          <w:szCs w:val="24"/>
        </w:rPr>
        <w:t>.</w:t>
      </w:r>
    </w:p>
    <w:p w:rsidR="00C67F72" w:rsidRPr="00585E68" w:rsidRDefault="00AF7690"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İmalat sanayii</w:t>
      </w:r>
      <w:r w:rsidR="005B7C3E" w:rsidRPr="00585E68">
        <w:rPr>
          <w:rFonts w:ascii="Arial" w:hAnsi="Arial" w:cs="Arial"/>
          <w:sz w:val="24"/>
          <w:szCs w:val="24"/>
        </w:rPr>
        <w:t xml:space="preserve"> başta olmak üzere yeni yatırımların gerçekleştirilmesi, ihracatın artırılması ve teknolojik gelişme için </w:t>
      </w:r>
      <w:r w:rsidR="00A52898" w:rsidRPr="00585E68">
        <w:rPr>
          <w:rFonts w:ascii="Arial" w:hAnsi="Arial" w:cs="Arial"/>
          <w:sz w:val="24"/>
          <w:szCs w:val="24"/>
          <w:lang w:val="tr-TR"/>
        </w:rPr>
        <w:t xml:space="preserve">mevcut </w:t>
      </w:r>
      <w:r w:rsidR="005B7C3E" w:rsidRPr="00585E68">
        <w:rPr>
          <w:rFonts w:ascii="Arial" w:hAnsi="Arial" w:cs="Arial"/>
          <w:sz w:val="24"/>
          <w:szCs w:val="24"/>
        </w:rPr>
        <w:t xml:space="preserve">teşvik politikaları etkin şekilde </w:t>
      </w:r>
      <w:r w:rsidR="00A52898" w:rsidRPr="00585E68">
        <w:rPr>
          <w:rFonts w:ascii="Arial" w:hAnsi="Arial" w:cs="Arial"/>
          <w:sz w:val="24"/>
          <w:szCs w:val="24"/>
          <w:lang w:val="tr-TR"/>
        </w:rPr>
        <w:t xml:space="preserve">uygulanacak, </w:t>
      </w:r>
      <w:r w:rsidR="005B7C3E" w:rsidRPr="00585E68">
        <w:rPr>
          <w:rFonts w:ascii="Arial" w:hAnsi="Arial" w:cs="Arial"/>
          <w:sz w:val="24"/>
          <w:szCs w:val="24"/>
        </w:rPr>
        <w:t>ihtiyaç</w:t>
      </w:r>
      <w:r w:rsidR="00B41FCB">
        <w:rPr>
          <w:rFonts w:ascii="Arial" w:hAnsi="Arial" w:cs="Arial"/>
          <w:sz w:val="24"/>
          <w:szCs w:val="24"/>
          <w:lang w:val="tr-TR"/>
        </w:rPr>
        <w:t>lara göre</w:t>
      </w:r>
      <w:r w:rsidR="00A52898" w:rsidRPr="00585E68">
        <w:rPr>
          <w:rFonts w:ascii="Arial" w:hAnsi="Arial" w:cs="Arial"/>
          <w:sz w:val="24"/>
          <w:szCs w:val="24"/>
          <w:lang w:val="tr-TR"/>
        </w:rPr>
        <w:t xml:space="preserve"> </w:t>
      </w:r>
      <w:r w:rsidR="005B7C3E" w:rsidRPr="00585E68">
        <w:rPr>
          <w:rFonts w:ascii="Arial" w:hAnsi="Arial" w:cs="Arial"/>
          <w:sz w:val="24"/>
          <w:szCs w:val="24"/>
        </w:rPr>
        <w:t>yatırım teşvik sistemi</w:t>
      </w:r>
      <w:r w:rsidR="00E669FD" w:rsidRPr="00585E68">
        <w:rPr>
          <w:rFonts w:ascii="Arial" w:hAnsi="Arial" w:cs="Arial"/>
          <w:sz w:val="24"/>
          <w:szCs w:val="24"/>
          <w:lang w:val="tr-TR"/>
        </w:rPr>
        <w:t xml:space="preserve"> </w:t>
      </w:r>
      <w:r w:rsidR="00480650" w:rsidRPr="00585E68">
        <w:rPr>
          <w:rFonts w:ascii="Arial" w:hAnsi="Arial" w:cs="Arial"/>
          <w:sz w:val="24"/>
          <w:szCs w:val="24"/>
          <w:lang w:val="tr-TR"/>
        </w:rPr>
        <w:t>gözden geçirilecektir.</w:t>
      </w:r>
      <w:r w:rsidR="00C67F72" w:rsidRPr="00585E68">
        <w:rPr>
          <w:rFonts w:ascii="Arial" w:hAnsi="Arial" w:cs="Arial"/>
          <w:sz w:val="24"/>
          <w:szCs w:val="24"/>
        </w:rPr>
        <w:t xml:space="preserve"> </w:t>
      </w:r>
    </w:p>
    <w:p w:rsidR="005B7C3E" w:rsidRPr="00585E68" w:rsidRDefault="005B7C3E"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 xml:space="preserve">Yatırımcılara ve işletmelere yönelik bürokratik ve hukuki süreçler iyileştirilecek, uluslararası standartlara ve en iyi uygulamalara göre </w:t>
      </w:r>
      <w:r w:rsidR="000C4809" w:rsidRPr="00585E68">
        <w:rPr>
          <w:rFonts w:ascii="Arial" w:hAnsi="Arial" w:cs="Arial"/>
          <w:sz w:val="24"/>
          <w:szCs w:val="24"/>
        </w:rPr>
        <w:t xml:space="preserve">mevzuat </w:t>
      </w:r>
      <w:r w:rsidRPr="00585E68">
        <w:rPr>
          <w:rFonts w:ascii="Arial" w:hAnsi="Arial" w:cs="Arial"/>
          <w:sz w:val="24"/>
          <w:szCs w:val="24"/>
        </w:rPr>
        <w:t xml:space="preserve">güncellenecektir. </w:t>
      </w:r>
    </w:p>
    <w:p w:rsidR="005B7C3E" w:rsidRPr="00585E68" w:rsidRDefault="005B7C3E"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 xml:space="preserve">Yatırımcılara uygun nitelikte yatırım yeri tahsisi yapabilmek için yeterli arsa </w:t>
      </w:r>
      <w:r w:rsidR="0009644D" w:rsidRPr="00585E68">
        <w:rPr>
          <w:rFonts w:ascii="Arial" w:hAnsi="Arial" w:cs="Arial"/>
          <w:sz w:val="24"/>
          <w:szCs w:val="24"/>
        </w:rPr>
        <w:t>üretimi</w:t>
      </w:r>
      <w:r w:rsidR="0009644D" w:rsidRPr="00585E68">
        <w:rPr>
          <w:rFonts w:ascii="Arial" w:hAnsi="Arial" w:cs="Arial"/>
          <w:sz w:val="24"/>
          <w:szCs w:val="24"/>
          <w:lang w:val="tr-TR"/>
        </w:rPr>
        <w:t xml:space="preserve"> sağlanması amacıyla</w:t>
      </w:r>
      <w:r w:rsidRPr="00585E68">
        <w:rPr>
          <w:rFonts w:ascii="Arial" w:hAnsi="Arial" w:cs="Arial"/>
          <w:sz w:val="24"/>
          <w:szCs w:val="24"/>
        </w:rPr>
        <w:t>, hazine arazileri başta olmak üzere yatırıma elverişli arazilerin envanteri çıkarılacak ve tahsis süreçleri etkinleştirilecektir.</w:t>
      </w:r>
    </w:p>
    <w:p w:rsidR="00515E74" w:rsidRPr="00585E68" w:rsidRDefault="00954A03"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Yurt içi</w:t>
      </w:r>
      <w:r w:rsidR="00515E74" w:rsidRPr="00585E68">
        <w:rPr>
          <w:rFonts w:ascii="Arial" w:hAnsi="Arial" w:cs="Arial"/>
          <w:sz w:val="24"/>
          <w:szCs w:val="24"/>
        </w:rPr>
        <w:t xml:space="preserve"> tasarrufları artırmak amacıyla</w:t>
      </w:r>
      <w:r w:rsidR="00B41FCB">
        <w:rPr>
          <w:rFonts w:ascii="Arial" w:hAnsi="Arial" w:cs="Arial"/>
          <w:sz w:val="24"/>
          <w:szCs w:val="24"/>
          <w:lang w:val="tr-TR"/>
        </w:rPr>
        <w:t>,</w:t>
      </w:r>
      <w:r w:rsidR="00515E74" w:rsidRPr="00585E68">
        <w:rPr>
          <w:rFonts w:ascii="Arial" w:hAnsi="Arial" w:cs="Arial"/>
          <w:sz w:val="24"/>
          <w:szCs w:val="24"/>
        </w:rPr>
        <w:t xml:space="preserve"> </w:t>
      </w:r>
      <w:r w:rsidR="004E0DE7">
        <w:rPr>
          <w:rFonts w:ascii="Arial" w:hAnsi="Arial" w:cs="Arial"/>
          <w:sz w:val="24"/>
          <w:szCs w:val="24"/>
          <w:lang w:val="tr-TR"/>
        </w:rPr>
        <w:t>uluslar</w:t>
      </w:r>
      <w:r w:rsidR="00E45A18">
        <w:rPr>
          <w:rFonts w:ascii="Arial" w:hAnsi="Arial" w:cs="Arial"/>
          <w:sz w:val="24"/>
          <w:szCs w:val="24"/>
          <w:lang w:val="tr-TR"/>
        </w:rPr>
        <w:t xml:space="preserve">arası yükümlülükler </w:t>
      </w:r>
      <w:r w:rsidR="00B41FCB">
        <w:rPr>
          <w:rFonts w:ascii="Arial" w:hAnsi="Arial" w:cs="Arial"/>
          <w:sz w:val="24"/>
          <w:szCs w:val="24"/>
          <w:lang w:val="tr-TR"/>
        </w:rPr>
        <w:t>gözetilerek,</w:t>
      </w:r>
      <w:r w:rsidR="00E45A18">
        <w:rPr>
          <w:rFonts w:ascii="Arial" w:hAnsi="Arial" w:cs="Arial"/>
          <w:sz w:val="24"/>
          <w:szCs w:val="24"/>
          <w:lang w:val="tr-TR"/>
        </w:rPr>
        <w:t xml:space="preserve"> </w:t>
      </w:r>
      <w:r w:rsidR="00515E74" w:rsidRPr="00585E68">
        <w:rPr>
          <w:rFonts w:ascii="Arial" w:hAnsi="Arial" w:cs="Arial"/>
          <w:sz w:val="24"/>
          <w:szCs w:val="24"/>
        </w:rPr>
        <w:t>lüks ve/veya ithal</w:t>
      </w:r>
      <w:r w:rsidR="00E669FD" w:rsidRPr="00585E68">
        <w:rPr>
          <w:rFonts w:ascii="Arial" w:hAnsi="Arial" w:cs="Arial"/>
          <w:sz w:val="24"/>
          <w:szCs w:val="24"/>
        </w:rPr>
        <w:t>at yoğunluğu yüksek</w:t>
      </w:r>
      <w:r w:rsidR="00E669FD" w:rsidRPr="00585E68">
        <w:rPr>
          <w:rFonts w:ascii="Arial" w:hAnsi="Arial" w:cs="Arial"/>
          <w:sz w:val="24"/>
          <w:szCs w:val="24"/>
          <w:lang w:val="tr-TR"/>
        </w:rPr>
        <w:t xml:space="preserve"> </w:t>
      </w:r>
      <w:r w:rsidR="00515E74" w:rsidRPr="00585E68">
        <w:rPr>
          <w:rFonts w:ascii="Arial" w:hAnsi="Arial" w:cs="Arial"/>
          <w:sz w:val="24"/>
          <w:szCs w:val="24"/>
        </w:rPr>
        <w:t>tüketim malları tespit edilerek caydırıcı vergilendirme yapılacaktır.</w:t>
      </w:r>
    </w:p>
    <w:p w:rsidR="00515E74" w:rsidRDefault="00515E74"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 xml:space="preserve">Kaynakların üretken alanlara yönlendirilmesini sağlamak amacıyla gayrimenkullerin elden çıkarılmasında değer artış kazançlarının vergilendirilmesine yönelik </w:t>
      </w:r>
      <w:r w:rsidR="00B41FCB">
        <w:rPr>
          <w:rFonts w:ascii="Arial" w:hAnsi="Arial" w:cs="Arial"/>
          <w:sz w:val="24"/>
          <w:szCs w:val="24"/>
          <w:lang w:val="tr-TR"/>
        </w:rPr>
        <w:t xml:space="preserve">düzenlemeler </w:t>
      </w:r>
      <w:r w:rsidRPr="00585E68">
        <w:rPr>
          <w:rFonts w:ascii="Arial" w:hAnsi="Arial" w:cs="Arial"/>
          <w:sz w:val="24"/>
          <w:szCs w:val="24"/>
        </w:rPr>
        <w:t>gözden geçirilecektir.</w:t>
      </w:r>
    </w:p>
    <w:p w:rsidR="006F5CF7" w:rsidRPr="00585E68" w:rsidRDefault="006F5CF7"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Pr>
          <w:rFonts w:ascii="Arial" w:hAnsi="Arial" w:cs="Arial"/>
          <w:sz w:val="24"/>
          <w:szCs w:val="24"/>
          <w:lang w:val="tr-TR"/>
        </w:rPr>
        <w:t>Vergi ve kredi maliyetlerinin farklılaştırılması gibi araçlarla üretken olmayan yatırımların cazibesi azaltılacak ve tasarruflar üretken alanlarda yatırımlara yönlendirilecektir.</w:t>
      </w:r>
    </w:p>
    <w:p w:rsidR="005B7C3E" w:rsidRPr="00585E68" w:rsidRDefault="005B7C3E"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 xml:space="preserve">Özelleştirme politikası, yurt içinde üretken alanlara yeni yatırımlar yapılması politikasıyla eşgüdüm içerisinde uygulanacaktır. </w:t>
      </w:r>
    </w:p>
    <w:p w:rsidR="00DC476F" w:rsidRPr="00585E68" w:rsidRDefault="00EA2AD5"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lang w:val="tr-TR"/>
        </w:rPr>
        <w:t>İ</w:t>
      </w:r>
      <w:proofErr w:type="spellStart"/>
      <w:r w:rsidR="00DC476F" w:rsidRPr="00585E68">
        <w:rPr>
          <w:rFonts w:ascii="Arial" w:hAnsi="Arial" w:cs="Arial"/>
          <w:sz w:val="24"/>
          <w:szCs w:val="24"/>
        </w:rPr>
        <w:t>klim</w:t>
      </w:r>
      <w:proofErr w:type="spellEnd"/>
      <w:r w:rsidR="00DC476F" w:rsidRPr="00585E68">
        <w:rPr>
          <w:rFonts w:ascii="Arial" w:hAnsi="Arial" w:cs="Arial"/>
          <w:sz w:val="24"/>
          <w:szCs w:val="24"/>
        </w:rPr>
        <w:t xml:space="preserve"> şartları</w:t>
      </w:r>
      <w:r w:rsidRPr="00585E68">
        <w:rPr>
          <w:rFonts w:ascii="Arial" w:hAnsi="Arial" w:cs="Arial"/>
          <w:sz w:val="24"/>
          <w:szCs w:val="24"/>
          <w:lang w:val="tr-TR"/>
        </w:rPr>
        <w:t>ndan,</w:t>
      </w:r>
      <w:r w:rsidR="00C60192" w:rsidRPr="00585E68">
        <w:rPr>
          <w:rFonts w:ascii="Arial" w:hAnsi="Arial" w:cs="Arial"/>
          <w:sz w:val="24"/>
          <w:szCs w:val="24"/>
          <w:lang w:val="tr-TR"/>
        </w:rPr>
        <w:t xml:space="preserve"> </w:t>
      </w:r>
      <w:r w:rsidR="00DC476F" w:rsidRPr="00585E68">
        <w:rPr>
          <w:rFonts w:ascii="Arial" w:hAnsi="Arial" w:cs="Arial"/>
          <w:sz w:val="24"/>
          <w:szCs w:val="24"/>
        </w:rPr>
        <w:t xml:space="preserve">yanlış ve aşırı su kullanımından kaynaklanan veya kaynaklanması beklenen sorunlar </w:t>
      </w:r>
      <w:r w:rsidRPr="00585E68">
        <w:rPr>
          <w:rFonts w:ascii="Arial" w:hAnsi="Arial" w:cs="Arial"/>
          <w:sz w:val="24"/>
          <w:szCs w:val="24"/>
          <w:lang w:val="tr-TR"/>
        </w:rPr>
        <w:t>çözülerek t</w:t>
      </w:r>
      <w:r w:rsidRPr="00585E68">
        <w:rPr>
          <w:rFonts w:ascii="Arial" w:hAnsi="Arial" w:cs="Arial"/>
          <w:sz w:val="24"/>
          <w:szCs w:val="24"/>
        </w:rPr>
        <w:t>arımda su kullanımı etkinleştiril</w:t>
      </w:r>
      <w:r w:rsidRPr="00585E68">
        <w:rPr>
          <w:rFonts w:ascii="Arial" w:hAnsi="Arial" w:cs="Arial"/>
          <w:sz w:val="24"/>
          <w:szCs w:val="24"/>
          <w:lang w:val="tr-TR"/>
        </w:rPr>
        <w:t>ecektir</w:t>
      </w:r>
      <w:r w:rsidR="00DC476F" w:rsidRPr="00585E68">
        <w:rPr>
          <w:rFonts w:ascii="Arial" w:hAnsi="Arial" w:cs="Arial"/>
          <w:sz w:val="24"/>
          <w:szCs w:val="24"/>
        </w:rPr>
        <w:t>.</w:t>
      </w:r>
    </w:p>
    <w:p w:rsidR="00E207C6" w:rsidRPr="00585E68" w:rsidRDefault="00E207C6"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Doğal kaynak zenginliğinin ve tarımsal ürün çeşitliliğinin, teknoloji yardımıyla üretime ve rekabet avantajına dönüştürülmesine yönelik politikalara ağırlık verilecektir.</w:t>
      </w:r>
    </w:p>
    <w:p w:rsidR="005B7C3E" w:rsidRPr="00585E68" w:rsidRDefault="005B7C3E"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Doğal kaynaklar etkin kullanılacak, atıklar ekonomiye kazandırılacaktır.</w:t>
      </w:r>
    </w:p>
    <w:p w:rsidR="005B7C3E" w:rsidRPr="00585E68" w:rsidRDefault="005B7C3E"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 xml:space="preserve">Teknolojik gelişme ve yerli üretimin artırılmasında kamu alımları etkin bir araç olarak kullanılacaktır. </w:t>
      </w:r>
    </w:p>
    <w:p w:rsidR="005B7C3E" w:rsidRPr="00585E68" w:rsidRDefault="005B7C3E"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KOBİ’lerin Ar-Ge, yenilik ve ihracat yapabilme kapasiteleri geliştirile</w:t>
      </w:r>
      <w:r w:rsidR="00B41FCB">
        <w:rPr>
          <w:rFonts w:ascii="Arial" w:hAnsi="Arial" w:cs="Arial"/>
          <w:sz w:val="24"/>
          <w:szCs w:val="24"/>
          <w:lang w:val="tr-TR"/>
        </w:rPr>
        <w:t>cek,</w:t>
      </w:r>
      <w:r w:rsidRPr="00585E68">
        <w:rPr>
          <w:rFonts w:ascii="Arial" w:hAnsi="Arial" w:cs="Arial"/>
          <w:sz w:val="24"/>
          <w:szCs w:val="24"/>
        </w:rPr>
        <w:t xml:space="preserve"> markalaşmaları, kurumsallaşmaları ve yenilikçi iş modelleri geliştirmeleri </w:t>
      </w:r>
      <w:r w:rsidR="00B41FCB">
        <w:rPr>
          <w:rFonts w:ascii="Arial" w:hAnsi="Arial" w:cs="Arial"/>
          <w:sz w:val="24"/>
          <w:szCs w:val="24"/>
          <w:lang w:val="tr-TR"/>
        </w:rPr>
        <w:t>etkin bir şekilde desteklenecektir</w:t>
      </w:r>
      <w:r w:rsidRPr="00585E68">
        <w:rPr>
          <w:rFonts w:ascii="Arial" w:hAnsi="Arial" w:cs="Arial"/>
          <w:sz w:val="24"/>
          <w:szCs w:val="24"/>
        </w:rPr>
        <w:t>.</w:t>
      </w:r>
    </w:p>
    <w:p w:rsidR="00E53D46" w:rsidRDefault="00C812C2"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Girişimcilik ekosisteminde hizmet ve destek sağlayan tüm kurum ve kuruluşların kurumsal kapasiteleri ve işbirliği düzeyleri artırılacaktır. </w:t>
      </w:r>
    </w:p>
    <w:p w:rsidR="005B7C3E" w:rsidRPr="0010769B" w:rsidRDefault="005B7C3E"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Organize sanayi bölgeleri, teknoloji geliştirme bölgeleri, küçük sanayi siteleri ve endüstri bölgeleri uygulamaları geliştirilecek; kuluçka ve iş geliştirme merkezleri</w:t>
      </w:r>
      <w:r w:rsidR="00E53D46">
        <w:rPr>
          <w:rFonts w:ascii="Arial" w:hAnsi="Arial" w:cs="Arial"/>
          <w:sz w:val="24"/>
          <w:szCs w:val="24"/>
          <w:lang w:val="tr-TR"/>
        </w:rPr>
        <w:t>nin</w:t>
      </w:r>
      <w:r w:rsidRPr="0010769B">
        <w:rPr>
          <w:rFonts w:ascii="Arial" w:hAnsi="Arial" w:cs="Arial"/>
          <w:sz w:val="24"/>
          <w:szCs w:val="24"/>
        </w:rPr>
        <w:t xml:space="preserve"> nicelik ve nitelikleri artırılarak etkin bir şekilde hizmet vermeleri sağlanacak; kümelenme desteklenecektir.</w:t>
      </w:r>
    </w:p>
    <w:p w:rsidR="005B7C3E" w:rsidRPr="00585E68" w:rsidRDefault="005B7C3E"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lastRenderedPageBreak/>
        <w:t>Eğitim sisteminde, bireylerin kişilik ve kabiliyetlerini geliştiren, hayat boyu öğrenme yaklaşımı çerçevesinde işgücü piyasasıyla uyumunu güçlendiren, fırsat eşitliğine dayalı, kalite odaklı dönüşüm sürdürülecektir.</w:t>
      </w:r>
    </w:p>
    <w:p w:rsidR="005B7C3E" w:rsidRPr="00585E68" w:rsidRDefault="00E53D46"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Pr>
          <w:rFonts w:ascii="Arial" w:hAnsi="Arial" w:cs="Arial"/>
          <w:sz w:val="24"/>
          <w:szCs w:val="24"/>
          <w:lang w:val="tr-TR"/>
        </w:rPr>
        <w:t xml:space="preserve">İnsani </w:t>
      </w:r>
      <w:r w:rsidR="00942B8E" w:rsidRPr="00585E68">
        <w:rPr>
          <w:rFonts w:ascii="Arial" w:hAnsi="Arial" w:cs="Arial"/>
          <w:sz w:val="24"/>
          <w:szCs w:val="24"/>
          <w:lang w:val="tr-TR"/>
        </w:rPr>
        <w:t>kalkınma perspektifinde</w:t>
      </w:r>
      <w:r w:rsidR="005B7C3E" w:rsidRPr="00585E68">
        <w:rPr>
          <w:rFonts w:ascii="Arial" w:hAnsi="Arial" w:cs="Arial"/>
          <w:sz w:val="24"/>
          <w:szCs w:val="24"/>
        </w:rPr>
        <w:t xml:space="preserve"> gelir dağılımını iyileştirmeye yönelik olarak izlenen politikalara devam edilecektir. </w:t>
      </w:r>
    </w:p>
    <w:p w:rsidR="005B7C3E" w:rsidRPr="00585E68" w:rsidRDefault="00480650"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lang w:val="tr-TR"/>
        </w:rPr>
        <w:t>B</w:t>
      </w:r>
      <w:proofErr w:type="spellStart"/>
      <w:r w:rsidR="005B7C3E" w:rsidRPr="00585E68">
        <w:rPr>
          <w:rFonts w:ascii="Arial" w:hAnsi="Arial" w:cs="Arial"/>
          <w:sz w:val="24"/>
          <w:szCs w:val="24"/>
        </w:rPr>
        <w:t>ölgeler</w:t>
      </w:r>
      <w:proofErr w:type="spellEnd"/>
      <w:r w:rsidR="005B7C3E" w:rsidRPr="00585E68">
        <w:rPr>
          <w:rFonts w:ascii="Arial" w:hAnsi="Arial" w:cs="Arial"/>
          <w:sz w:val="24"/>
          <w:szCs w:val="24"/>
        </w:rPr>
        <w:t xml:space="preserve"> arası gelişmişlik farkları azaltılacak, tüm bölgelerin potansiyeli değerlendirilerek bölgesel rekabet güçleri artırılacak ve büyümeye katkıları azami seviyeye çıkarılacaktır.</w:t>
      </w:r>
    </w:p>
    <w:p w:rsidR="005B7C3E" w:rsidRPr="00585E68" w:rsidRDefault="005B7C3E"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Çevre dostu yaklaşımların barındırdığı yeni iş imkânları, gelir kaynakları, ürün ve teknolojilerin geliştirilmesine yönelik fırsatlar değerlendirilerek yeşil büyüme desteklenecektir.</w:t>
      </w:r>
    </w:p>
    <w:p w:rsidR="00660128" w:rsidRPr="00585E68" w:rsidRDefault="00660128"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Özel sektör imalat sanayiinde makine teçhizat yatırımlarının artırılması amacıyla kredi kolaylıkları sağlanacaktır.</w:t>
      </w:r>
    </w:p>
    <w:p w:rsidR="00DC476F" w:rsidRPr="00585E68" w:rsidRDefault="005B7C3E"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Kentsel dönüşümde katma değer yaratan sektörlerin, yaratıcı endüstrilerin, yüksek teknolojili, çevreye duyarlı yenilikçi üretimin ve enerji verimliliğinin desteklenmesine önem verilecektir</w:t>
      </w:r>
      <w:r w:rsidR="00DC476F" w:rsidRPr="0010769B">
        <w:rPr>
          <w:rFonts w:ascii="Arial" w:hAnsi="Arial" w:cs="Arial"/>
          <w:sz w:val="24"/>
          <w:szCs w:val="24"/>
        </w:rPr>
        <w:t>.</w:t>
      </w:r>
    </w:p>
    <w:p w:rsidR="00B3628D" w:rsidRPr="0010769B" w:rsidRDefault="00DC476F"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Kombine ve </w:t>
      </w:r>
      <w:proofErr w:type="spellStart"/>
      <w:r w:rsidRPr="0010769B">
        <w:rPr>
          <w:rFonts w:ascii="Arial" w:hAnsi="Arial" w:cs="Arial"/>
          <w:sz w:val="24"/>
          <w:szCs w:val="24"/>
        </w:rPr>
        <w:t>intermodal</w:t>
      </w:r>
      <w:proofErr w:type="spellEnd"/>
      <w:r w:rsidRPr="0010769B">
        <w:rPr>
          <w:rFonts w:ascii="Arial" w:hAnsi="Arial" w:cs="Arial"/>
          <w:sz w:val="24"/>
          <w:szCs w:val="24"/>
        </w:rPr>
        <w:t xml:space="preserve"> taşımacılığı geliştirecek, tedarik zinciri yönetiminde optimizasyonu sağlayacak, ülkemizi uluslararası ticarette tercih edilir bölgesel bir lojistik üs haline getirecek Lojistik Master Planı hazırlanacak ve lojistikte strateji ve kurumsal yapılanma oluşturul</w:t>
      </w:r>
      <w:r w:rsidR="000B44AA" w:rsidRPr="0010769B">
        <w:rPr>
          <w:rFonts w:ascii="Arial" w:hAnsi="Arial" w:cs="Arial"/>
          <w:sz w:val="24"/>
          <w:szCs w:val="24"/>
        </w:rPr>
        <w:t>acaktır.</w:t>
      </w:r>
    </w:p>
    <w:p w:rsidR="00814BB9" w:rsidRPr="00585E68" w:rsidRDefault="008E6992" w:rsidP="0010769B">
      <w:pPr>
        <w:tabs>
          <w:tab w:val="left" w:pos="567"/>
        </w:tabs>
        <w:spacing w:after="120" w:line="240" w:lineRule="auto"/>
        <w:jc w:val="both"/>
        <w:rPr>
          <w:rFonts w:ascii="Arial" w:hAnsi="Arial" w:cs="Arial"/>
          <w:b/>
          <w:sz w:val="24"/>
          <w:szCs w:val="24"/>
        </w:rPr>
      </w:pPr>
      <w:r>
        <w:rPr>
          <w:rFonts w:ascii="Arial" w:hAnsi="Arial" w:cs="Arial"/>
          <w:b/>
          <w:sz w:val="24"/>
          <w:szCs w:val="24"/>
        </w:rPr>
        <w:tab/>
      </w:r>
      <w:r w:rsidR="00814BB9" w:rsidRPr="00585E68">
        <w:rPr>
          <w:rFonts w:ascii="Arial" w:hAnsi="Arial" w:cs="Arial"/>
          <w:b/>
          <w:sz w:val="24"/>
          <w:szCs w:val="24"/>
        </w:rPr>
        <w:t xml:space="preserve">2.  </w:t>
      </w:r>
      <w:r w:rsidR="00485CF9" w:rsidRPr="00585E68">
        <w:rPr>
          <w:rFonts w:ascii="Arial" w:hAnsi="Arial" w:cs="Arial"/>
          <w:b/>
          <w:sz w:val="24"/>
          <w:szCs w:val="24"/>
        </w:rPr>
        <w:t>Maliye Politikası</w:t>
      </w:r>
    </w:p>
    <w:p w:rsidR="00814BB9" w:rsidRPr="00032574"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Maliye politikası, ekonomik istikrarın desteklenmesine, yurt içi tasarrufların artırılarak cari açığın kontrol altında tutulmasına</w:t>
      </w:r>
      <w:r w:rsidR="007A5693" w:rsidRPr="00FF7774">
        <w:rPr>
          <w:rFonts w:ascii="Arial" w:hAnsi="Arial" w:cs="Arial"/>
          <w:sz w:val="24"/>
          <w:szCs w:val="24"/>
        </w:rPr>
        <w:t>, enflasyonla mücadele edilmesine</w:t>
      </w:r>
      <w:r w:rsidRPr="00FF7774">
        <w:rPr>
          <w:rFonts w:ascii="Arial" w:hAnsi="Arial" w:cs="Arial"/>
          <w:sz w:val="24"/>
          <w:szCs w:val="24"/>
        </w:rPr>
        <w:t xml:space="preserve"> ve büyüm</w:t>
      </w:r>
      <w:r w:rsidRPr="00D86959">
        <w:rPr>
          <w:rFonts w:ascii="Arial" w:hAnsi="Arial" w:cs="Arial"/>
          <w:sz w:val="24"/>
          <w:szCs w:val="24"/>
        </w:rPr>
        <w:t>e potansiyelinin yukarı çekilmesine yardımcı</w:t>
      </w:r>
      <w:r w:rsidR="007A5693" w:rsidRPr="00032574">
        <w:rPr>
          <w:rFonts w:ascii="Arial" w:hAnsi="Arial" w:cs="Arial"/>
          <w:sz w:val="24"/>
          <w:szCs w:val="24"/>
        </w:rPr>
        <w:t xml:space="preserve"> olacak şekilde uygulanacaktır.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Kamu kesimi borçlanma gereğinin ve faiz dışı harcamaların kontrol altında tutulması suretiyle maliye politikasının sürdürülebilirliği gözetilecek, kamu maliyesi alanında geçmiş dönemde elde edilen kazanımların gelecek dönemde</w:t>
      </w:r>
      <w:r w:rsidR="00AC5635" w:rsidRPr="0010769B">
        <w:rPr>
          <w:rFonts w:ascii="Arial" w:hAnsi="Arial" w:cs="Arial"/>
          <w:sz w:val="24"/>
          <w:szCs w:val="24"/>
        </w:rPr>
        <w:t xml:space="preserve"> de devam etmesi sağlanacaktır.</w:t>
      </w:r>
    </w:p>
    <w:p w:rsidR="00AC5635" w:rsidRPr="0010769B" w:rsidRDefault="003A2FF5"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Özellikle kamu tüketimi ve cari transferlerin kontrol altına alınması yoluyla kamu tasarruf yatırım açığı tedrici bir şekilde azaltılacaktır.</w:t>
      </w:r>
    </w:p>
    <w:p w:rsidR="00AC5635" w:rsidRPr="00585E68" w:rsidRDefault="004936CB"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lang w:val="tr-TR"/>
        </w:rPr>
        <w:t>H</w:t>
      </w:r>
      <w:r w:rsidR="002E133B" w:rsidRPr="00585E68">
        <w:rPr>
          <w:rFonts w:ascii="Arial" w:hAnsi="Arial" w:cs="Arial"/>
          <w:sz w:val="24"/>
          <w:szCs w:val="24"/>
          <w:lang w:val="tr-TR"/>
        </w:rPr>
        <w:t>arcamalardaki artış hızı</w:t>
      </w:r>
      <w:r w:rsidRPr="00585E68">
        <w:rPr>
          <w:rFonts w:ascii="Arial" w:hAnsi="Arial" w:cs="Arial"/>
          <w:sz w:val="24"/>
          <w:szCs w:val="24"/>
          <w:lang w:val="tr-TR"/>
        </w:rPr>
        <w:t>nın</w:t>
      </w:r>
      <w:r w:rsidR="002E133B" w:rsidRPr="00585E68">
        <w:rPr>
          <w:rFonts w:ascii="Arial" w:hAnsi="Arial" w:cs="Arial"/>
          <w:sz w:val="24"/>
          <w:szCs w:val="24"/>
          <w:lang w:val="tr-TR"/>
        </w:rPr>
        <w:t xml:space="preserve"> kontrol altında tutul</w:t>
      </w:r>
      <w:r w:rsidRPr="00585E68">
        <w:rPr>
          <w:rFonts w:ascii="Arial" w:hAnsi="Arial" w:cs="Arial"/>
          <w:sz w:val="24"/>
          <w:szCs w:val="24"/>
          <w:lang w:val="tr-TR"/>
        </w:rPr>
        <w:t xml:space="preserve">masının yanı sıra, kalıcı mahiyette </w:t>
      </w:r>
      <w:r w:rsidR="00476DFD" w:rsidRPr="00585E68">
        <w:rPr>
          <w:rFonts w:ascii="Arial" w:hAnsi="Arial" w:cs="Arial"/>
          <w:sz w:val="24"/>
          <w:szCs w:val="24"/>
          <w:lang w:val="tr-TR"/>
        </w:rPr>
        <w:t>etki</w:t>
      </w:r>
      <w:r w:rsidRPr="00585E68">
        <w:rPr>
          <w:rFonts w:ascii="Arial" w:hAnsi="Arial" w:cs="Arial"/>
          <w:sz w:val="24"/>
          <w:szCs w:val="24"/>
          <w:lang w:val="tr-TR"/>
        </w:rPr>
        <w:t xml:space="preserve"> oluşturacak yeni harcama programlarının bütçeye </w:t>
      </w:r>
      <w:r w:rsidR="00476DFD" w:rsidRPr="00585E68">
        <w:rPr>
          <w:rFonts w:ascii="Arial" w:hAnsi="Arial" w:cs="Arial"/>
          <w:sz w:val="24"/>
          <w:szCs w:val="24"/>
          <w:lang w:val="tr-TR"/>
        </w:rPr>
        <w:t>dâhil</w:t>
      </w:r>
      <w:r w:rsidRPr="00585E68">
        <w:rPr>
          <w:rFonts w:ascii="Arial" w:hAnsi="Arial" w:cs="Arial"/>
          <w:sz w:val="24"/>
          <w:szCs w:val="24"/>
          <w:lang w:val="tr-TR"/>
        </w:rPr>
        <w:t xml:space="preserve"> edilmesi sürecinde</w:t>
      </w:r>
      <w:r w:rsidR="00476DFD" w:rsidRPr="00585E68">
        <w:rPr>
          <w:rFonts w:ascii="Arial" w:hAnsi="Arial" w:cs="Arial"/>
          <w:sz w:val="24"/>
          <w:szCs w:val="24"/>
          <w:lang w:val="tr-TR"/>
        </w:rPr>
        <w:t xml:space="preserve"> gelecekteki mali yükler göz önünde tutularak </w:t>
      </w:r>
      <w:r w:rsidR="002E133B" w:rsidRPr="00585E68">
        <w:rPr>
          <w:rFonts w:ascii="Arial" w:hAnsi="Arial" w:cs="Arial"/>
          <w:sz w:val="24"/>
          <w:szCs w:val="24"/>
          <w:lang w:val="tr-TR"/>
        </w:rPr>
        <w:t>k</w:t>
      </w:r>
      <w:r w:rsidR="00AC5635" w:rsidRPr="00585E68">
        <w:rPr>
          <w:rFonts w:ascii="Arial" w:hAnsi="Arial" w:cs="Arial"/>
          <w:sz w:val="24"/>
          <w:szCs w:val="24"/>
          <w:lang w:val="tr-TR"/>
        </w:rPr>
        <w:t>amu</w:t>
      </w:r>
      <w:r w:rsidR="002E133B" w:rsidRPr="00585E68">
        <w:rPr>
          <w:rFonts w:ascii="Arial" w:hAnsi="Arial" w:cs="Arial"/>
          <w:sz w:val="24"/>
          <w:szCs w:val="24"/>
          <w:lang w:val="tr-TR"/>
        </w:rPr>
        <w:t xml:space="preserve"> </w:t>
      </w:r>
      <w:r w:rsidR="00AC5635" w:rsidRPr="00585E68">
        <w:rPr>
          <w:rFonts w:ascii="Arial" w:hAnsi="Arial" w:cs="Arial"/>
          <w:sz w:val="24"/>
          <w:szCs w:val="24"/>
          <w:lang w:val="tr-TR"/>
        </w:rPr>
        <w:t>harcamalarına esneklik kazandır</w:t>
      </w:r>
      <w:r w:rsidR="00AB2270" w:rsidRPr="00585E68">
        <w:rPr>
          <w:rFonts w:ascii="Arial" w:hAnsi="Arial" w:cs="Arial"/>
          <w:sz w:val="24"/>
          <w:szCs w:val="24"/>
          <w:lang w:val="tr-TR"/>
        </w:rPr>
        <w:t>ılacaktır.</w:t>
      </w:r>
      <w:r w:rsidR="00502311" w:rsidRPr="00585E68">
        <w:rPr>
          <w:rFonts w:ascii="Arial" w:hAnsi="Arial" w:cs="Arial"/>
          <w:sz w:val="24"/>
          <w:szCs w:val="24"/>
          <w:lang w:val="tr-TR"/>
        </w:rPr>
        <w:t xml:space="preserve"> </w:t>
      </w:r>
    </w:p>
    <w:p w:rsidR="00814BB9" w:rsidRPr="00FF7774"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Harcama programları özellikle büyümeyi destekleyecek kamu altyapı yatırımlarında, teşviklerde,</w:t>
      </w:r>
      <w:r w:rsidR="00E45A18">
        <w:rPr>
          <w:rFonts w:ascii="Arial" w:hAnsi="Arial" w:cs="Arial"/>
          <w:sz w:val="24"/>
          <w:szCs w:val="24"/>
          <w:lang w:val="tr-TR"/>
        </w:rPr>
        <w:t xml:space="preserve"> bölgesel kalkınmada,</w:t>
      </w:r>
      <w:r w:rsidRPr="00FF7774">
        <w:rPr>
          <w:rFonts w:ascii="Arial" w:hAnsi="Arial" w:cs="Arial"/>
          <w:sz w:val="24"/>
          <w:szCs w:val="24"/>
        </w:rPr>
        <w:t xml:space="preserve"> eğitim alanında ve Ar-Ge desteklerinde kullanılacak şekilde </w:t>
      </w:r>
      <w:proofErr w:type="spellStart"/>
      <w:r w:rsidRPr="00FF7774">
        <w:rPr>
          <w:rFonts w:ascii="Arial" w:hAnsi="Arial" w:cs="Arial"/>
          <w:sz w:val="24"/>
          <w:szCs w:val="24"/>
        </w:rPr>
        <w:t>önceliklendirilecektir</w:t>
      </w:r>
      <w:proofErr w:type="spellEnd"/>
      <w:r w:rsidRPr="00FF7774">
        <w:rPr>
          <w:rFonts w:ascii="Arial" w:hAnsi="Arial" w:cs="Arial"/>
          <w:sz w:val="24"/>
          <w:szCs w:val="24"/>
        </w:rPr>
        <w:t>.</w:t>
      </w:r>
    </w:p>
    <w:p w:rsidR="00814BB9" w:rsidRPr="00032574"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D86959">
        <w:rPr>
          <w:rFonts w:ascii="Arial" w:hAnsi="Arial" w:cs="Arial"/>
          <w:sz w:val="24"/>
          <w:szCs w:val="24"/>
        </w:rPr>
        <w:t xml:space="preserve">Kamu mali sisteminin devresel hareketlere karşı oldukça duyarlı olan yapısı göz </w:t>
      </w:r>
      <w:r w:rsidRPr="00032574">
        <w:rPr>
          <w:rFonts w:ascii="Arial" w:hAnsi="Arial" w:cs="Arial"/>
          <w:sz w:val="24"/>
          <w:szCs w:val="24"/>
        </w:rPr>
        <w:t>önünde tutularak, daha güçlü bir kamu mali görünümünün tesis edilebilmesi için kamu gelirlerinin kalitesinin artırılması yönünde politikalar geliştirilecektir. Süreklilik arz etmeyen gelirler kullanılarak orta ve uzun vadede harcama seviyesinin kalıcı olarak yükselmesine neden olacak politikalar uygulanmayacaktır.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lastRenderedPageBreak/>
        <w:t xml:space="preserve">Politika oluşturma ve analiz sürecinde büyük önem taşıyan </w:t>
      </w:r>
      <w:r w:rsidR="002E133B" w:rsidRPr="0010769B">
        <w:rPr>
          <w:rFonts w:ascii="Arial" w:hAnsi="Arial" w:cs="Arial"/>
          <w:sz w:val="24"/>
          <w:szCs w:val="24"/>
        </w:rPr>
        <w:t xml:space="preserve">genel yönetim </w:t>
      </w:r>
      <w:r w:rsidRPr="0010769B">
        <w:rPr>
          <w:rFonts w:ascii="Arial" w:hAnsi="Arial" w:cs="Arial"/>
          <w:sz w:val="24"/>
          <w:szCs w:val="24"/>
        </w:rPr>
        <w:t xml:space="preserve">mali istatistikleri kullanıcıların ihtiyaçlarını karşılayacak detayda, uluslararası standartlarla uyumlu ve düzenli olarak yayımlanacaktır. </w:t>
      </w:r>
    </w:p>
    <w:p w:rsidR="00814BB9" w:rsidRPr="00585E68" w:rsidRDefault="008E6992" w:rsidP="0010769B">
      <w:pPr>
        <w:tabs>
          <w:tab w:val="left" w:pos="567"/>
        </w:tabs>
        <w:spacing w:after="120" w:line="240" w:lineRule="auto"/>
        <w:jc w:val="both"/>
        <w:rPr>
          <w:rFonts w:ascii="Arial" w:hAnsi="Arial" w:cs="Arial"/>
          <w:b/>
          <w:sz w:val="24"/>
          <w:szCs w:val="24"/>
        </w:rPr>
      </w:pPr>
      <w:r>
        <w:rPr>
          <w:rFonts w:ascii="Arial" w:hAnsi="Arial" w:cs="Arial"/>
          <w:b/>
          <w:sz w:val="24"/>
          <w:szCs w:val="24"/>
        </w:rPr>
        <w:tab/>
      </w:r>
      <w:proofErr w:type="gramStart"/>
      <w:r w:rsidR="00814BB9" w:rsidRPr="00585E68">
        <w:rPr>
          <w:rFonts w:ascii="Arial" w:hAnsi="Arial" w:cs="Arial"/>
          <w:b/>
          <w:sz w:val="24"/>
          <w:szCs w:val="24"/>
        </w:rPr>
        <w:t>a</w:t>
      </w:r>
      <w:proofErr w:type="gramEnd"/>
      <w:r w:rsidR="00814BB9" w:rsidRPr="00585E68">
        <w:rPr>
          <w:rFonts w:ascii="Arial" w:hAnsi="Arial" w:cs="Arial"/>
          <w:b/>
          <w:sz w:val="24"/>
          <w:szCs w:val="24"/>
        </w:rPr>
        <w:t>. Kamu Harcama Politikası</w:t>
      </w:r>
    </w:p>
    <w:p w:rsidR="00814BB9" w:rsidRPr="00D86959"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Kamu harcama politikasının, çok yıllı bütçeleme yaklaşımı çerçevesinde ve belirlenen politika öncelikleri ile ödenek tavanları doğrultusunda yürütülmesi; kamu idarelerinin kendilerine tahsis edilen ödenekleri aşmadan, ekonomik ve verimli kullanmaları esastır. Kurumlar tarafından öngörülen hizmet genişlemelerinde de ilgili yıl kurum bütçe ödeneği içinde kalınmasına özen gösterilecektir.</w:t>
      </w:r>
    </w:p>
    <w:p w:rsidR="00814BB9" w:rsidRPr="00032574"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032574">
        <w:rPr>
          <w:rFonts w:ascii="Arial" w:hAnsi="Arial" w:cs="Arial"/>
          <w:sz w:val="24"/>
          <w:szCs w:val="24"/>
        </w:rPr>
        <w:t>Kaynak kullanımında etkinliği artırmak ve hesap verebilirliği güçlendirmek amacıyla, kamu harcamalarıyla ilgili kalıcı yük oluşturacak ve hizmet alanlarını genişletecek düzenlemeler ülke geneline yaygınlaştırılmadan önce pilot uygulamalara gidilecektir.</w:t>
      </w:r>
    </w:p>
    <w:p w:rsidR="00814BB9" w:rsidRPr="00585E68"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 xml:space="preserve">Bütçe hazırlık sürecinde, </w:t>
      </w:r>
      <w:r w:rsidR="000156F7">
        <w:rPr>
          <w:rFonts w:ascii="Arial" w:hAnsi="Arial" w:cs="Arial"/>
          <w:sz w:val="24"/>
          <w:szCs w:val="24"/>
          <w:lang w:val="tr-TR"/>
        </w:rPr>
        <w:t xml:space="preserve">mal ve hizmet alımlarına </w:t>
      </w:r>
      <w:r w:rsidRPr="00585E68">
        <w:rPr>
          <w:rFonts w:ascii="Arial" w:hAnsi="Arial" w:cs="Arial"/>
          <w:sz w:val="24"/>
          <w:szCs w:val="24"/>
        </w:rPr>
        <w:t>yönelik ödenekler</w:t>
      </w:r>
      <w:r w:rsidR="002F5ACF" w:rsidRPr="00585E68">
        <w:rPr>
          <w:rFonts w:ascii="Arial" w:hAnsi="Arial" w:cs="Arial"/>
          <w:sz w:val="24"/>
          <w:szCs w:val="24"/>
        </w:rPr>
        <w:t>in</w:t>
      </w:r>
      <w:r w:rsidRPr="00585E68">
        <w:rPr>
          <w:rFonts w:ascii="Arial" w:hAnsi="Arial" w:cs="Arial"/>
          <w:sz w:val="24"/>
          <w:szCs w:val="24"/>
        </w:rPr>
        <w:t xml:space="preserve"> sıfır tabanlı bütçe ilkesiyle belirlen</w:t>
      </w:r>
      <w:r w:rsidR="002F5ACF" w:rsidRPr="00585E68">
        <w:rPr>
          <w:rFonts w:ascii="Arial" w:hAnsi="Arial" w:cs="Arial"/>
          <w:sz w:val="24"/>
          <w:szCs w:val="24"/>
        </w:rPr>
        <w:t>mesi</w:t>
      </w:r>
      <w:r w:rsidR="005678D1">
        <w:rPr>
          <w:rFonts w:ascii="Arial" w:hAnsi="Arial" w:cs="Arial"/>
          <w:sz w:val="24"/>
          <w:szCs w:val="24"/>
          <w:lang w:val="tr-TR"/>
        </w:rPr>
        <w:t>ne özen gösterilecektir</w:t>
      </w:r>
      <w:r w:rsidR="002F5ACF" w:rsidRPr="00585E68">
        <w:rPr>
          <w:rFonts w:ascii="Arial" w:hAnsi="Arial" w:cs="Arial"/>
          <w:sz w:val="24"/>
          <w:szCs w:val="24"/>
        </w:rPr>
        <w:t>.</w:t>
      </w:r>
    </w:p>
    <w:p w:rsidR="00814BB9" w:rsidRPr="00FF7774"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Kamu harcamalarının etkinliğinin artırılması amacıyla kamu mali yönetimi ve denetiminde kullanılan bilgi teknolojileri altyapısı bütünleşik hale getirilecektir.</w:t>
      </w:r>
    </w:p>
    <w:p w:rsidR="00814BB9" w:rsidRPr="00585E68"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Kamu kurum ve kuruluşlarının stratejik planlarının Kalkınma Planında yer alan politikalarla uyumu gözetilecek, stratejik plan</w:t>
      </w:r>
      <w:r w:rsidR="005B5AB5">
        <w:rPr>
          <w:rFonts w:ascii="Arial" w:hAnsi="Arial" w:cs="Arial"/>
          <w:sz w:val="24"/>
          <w:szCs w:val="24"/>
          <w:lang w:val="tr-TR"/>
        </w:rPr>
        <w:t xml:space="preserve"> ve performans programlarında</w:t>
      </w:r>
      <w:r w:rsidRPr="00585E68">
        <w:rPr>
          <w:rFonts w:ascii="Arial" w:hAnsi="Arial" w:cs="Arial"/>
          <w:sz w:val="24"/>
          <w:szCs w:val="24"/>
        </w:rPr>
        <w:t xml:space="preserve"> yer alan öncelik</w:t>
      </w:r>
      <w:r w:rsidR="005B5AB5">
        <w:rPr>
          <w:rFonts w:ascii="Arial" w:hAnsi="Arial" w:cs="Arial"/>
          <w:sz w:val="24"/>
          <w:szCs w:val="24"/>
          <w:lang w:val="tr-TR"/>
        </w:rPr>
        <w:t xml:space="preserve"> ve faaliyetler</w:t>
      </w:r>
      <w:r w:rsidRPr="00585E68">
        <w:rPr>
          <w:rFonts w:ascii="Arial" w:hAnsi="Arial" w:cs="Arial"/>
          <w:sz w:val="24"/>
          <w:szCs w:val="24"/>
        </w:rPr>
        <w:t xml:space="preserve"> bütçe hazırlık ve uygulama sürecine daha etkin yansıtıl</w:t>
      </w:r>
      <w:r w:rsidR="003052BF" w:rsidRPr="00585E68">
        <w:rPr>
          <w:rFonts w:ascii="Arial" w:hAnsi="Arial" w:cs="Arial"/>
          <w:sz w:val="24"/>
          <w:szCs w:val="24"/>
          <w:lang w:val="tr-TR"/>
        </w:rPr>
        <w:t>acaktır.</w:t>
      </w:r>
      <w:r w:rsidR="00A00957" w:rsidRPr="00585E68">
        <w:rPr>
          <w:rFonts w:ascii="Arial" w:hAnsi="Arial" w:cs="Arial"/>
          <w:sz w:val="24"/>
          <w:szCs w:val="24"/>
        </w:rPr>
        <w:t xml:space="preserve"> </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K</w:t>
      </w:r>
      <w:r w:rsidR="00AC6B2B">
        <w:rPr>
          <w:rFonts w:ascii="Arial" w:hAnsi="Arial" w:cs="Arial"/>
          <w:sz w:val="24"/>
          <w:szCs w:val="24"/>
          <w:lang w:val="tr-TR"/>
        </w:rPr>
        <w:t>amu özel işbirliği (KÖİ)</w:t>
      </w:r>
      <w:r w:rsidR="00AC6B2B" w:rsidRPr="00FF7774">
        <w:rPr>
          <w:rFonts w:ascii="Arial" w:hAnsi="Arial" w:cs="Arial"/>
          <w:sz w:val="24"/>
          <w:szCs w:val="24"/>
        </w:rPr>
        <w:t xml:space="preserve"> </w:t>
      </w:r>
      <w:r w:rsidRPr="00FF7774">
        <w:rPr>
          <w:rFonts w:ascii="Arial" w:hAnsi="Arial" w:cs="Arial"/>
          <w:sz w:val="24"/>
          <w:szCs w:val="24"/>
        </w:rPr>
        <w:t>kapsamında yapılacak yatırımlar, sözl</w:t>
      </w:r>
      <w:r w:rsidRPr="00D86959">
        <w:rPr>
          <w:rFonts w:ascii="Arial" w:hAnsi="Arial" w:cs="Arial"/>
          <w:sz w:val="24"/>
          <w:szCs w:val="24"/>
        </w:rPr>
        <w:t>eşmelerden doğacak yükümlülüklerin kamu mali dengeleri üzerindeki etkileri göz önünde bulundurularak planlanacaktır.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Başta hizmet alımları olmak üzere kamu harcamalarına ilişkin karar alma sürecinde fayda-maliyet analizlerinden yararlanılacaktır.</w:t>
      </w:r>
    </w:p>
    <w:p w:rsidR="0011383C" w:rsidRPr="0010769B" w:rsidRDefault="0011383C"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Kamu hizmet binası ve taşıt temini ihtiyaca uygun ve maliyet etkin hale getirilecektir.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Kamuda e-dönüşüm hızlandırılarak hizmet maliyetlerinin azaltılmasıyla birlikte hizmet kalitesi de artırılacaktır.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Kamu Ar-Ge harcamalarının tahsisinde, özel kesim yatırımlarının yüksek dış ticaret açığı verdiğimiz sanayi kollarında üretime yönlendirilmesine öncelik verilecektir.</w:t>
      </w:r>
    </w:p>
    <w:p w:rsidR="00814BB9" w:rsidRPr="00585E68"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 xml:space="preserve">Tarımsal destekleme amacıyla yapılan transferler; etkinlik, verimlilik ve katma değerin artırılması hedefi çerçevesinde </w:t>
      </w:r>
      <w:r w:rsidR="0096498C" w:rsidRPr="00585E68">
        <w:rPr>
          <w:rFonts w:ascii="Arial" w:hAnsi="Arial" w:cs="Arial"/>
          <w:sz w:val="24"/>
          <w:szCs w:val="24"/>
        </w:rPr>
        <w:t>gözden geçirilerek gerekli düzenlemeler yapılacaktır.</w:t>
      </w:r>
    </w:p>
    <w:p w:rsidR="00814BB9" w:rsidRPr="00D86959"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Sosyal amaçlı programların etkinliği değerlendirilecek,</w:t>
      </w:r>
      <w:r w:rsidR="007F65C7">
        <w:rPr>
          <w:rFonts w:ascii="Arial" w:hAnsi="Arial" w:cs="Arial"/>
          <w:sz w:val="24"/>
          <w:szCs w:val="24"/>
        </w:rPr>
        <w:t xml:space="preserve"> bu alanda kamu, özel kesim ve </w:t>
      </w:r>
      <w:r w:rsidR="007F65C7">
        <w:rPr>
          <w:rFonts w:ascii="Arial" w:hAnsi="Arial" w:cs="Arial"/>
          <w:sz w:val="24"/>
          <w:szCs w:val="24"/>
          <w:lang w:val="tr-TR"/>
        </w:rPr>
        <w:t>sivil toplum kuruluşları</w:t>
      </w:r>
      <w:r w:rsidRPr="00FF7774">
        <w:rPr>
          <w:rFonts w:ascii="Arial" w:hAnsi="Arial" w:cs="Arial"/>
          <w:sz w:val="24"/>
          <w:szCs w:val="24"/>
        </w:rPr>
        <w:t xml:space="preserve"> arasındaki eşgüdüm geliştirilecek ve mükerrerlikler önlenecektir.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032574">
        <w:rPr>
          <w:rFonts w:ascii="Arial" w:hAnsi="Arial" w:cs="Arial"/>
          <w:sz w:val="24"/>
          <w:szCs w:val="24"/>
        </w:rPr>
        <w:t xml:space="preserve">Sağlık hizmetlerinin kalitesinden ödün verilmeksizin, gereksiz </w:t>
      </w:r>
      <w:r w:rsidR="00DE5A5E" w:rsidRPr="00032574">
        <w:rPr>
          <w:rFonts w:ascii="Arial" w:hAnsi="Arial" w:cs="Arial"/>
          <w:sz w:val="24"/>
          <w:szCs w:val="24"/>
        </w:rPr>
        <w:t xml:space="preserve">kullanımı </w:t>
      </w:r>
      <w:r w:rsidRPr="0010769B">
        <w:rPr>
          <w:rFonts w:ascii="Arial" w:hAnsi="Arial" w:cs="Arial"/>
          <w:sz w:val="24"/>
          <w:szCs w:val="24"/>
        </w:rPr>
        <w:t xml:space="preserve">önlemek üzere, ilaç, tıbbi cihaz ve tedavi harcamaları daha akılcı hale getirilecektir. </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Sağlık hizmet sunucularının geçmiş davranışlarını dikkate alan denetim modelleri geliştirilecek, risk analizi ve veri madenciliği alanlarında yazılım, donanım ve eğitim altyapısı güçlendirilecektir.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lastRenderedPageBreak/>
        <w:t>Üniversite hastanelerinin yapısal sorunlarının giderilmesine yönelik tedbirler alınacaktır.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Sosyal güvenlik sisteminin mali sürdürülebilirliği üzerinde olumsuz yansımaları olabilecek uygulamalardan kaçınılacaktır.</w:t>
      </w:r>
    </w:p>
    <w:p w:rsidR="00814BB9" w:rsidRPr="00585E68" w:rsidRDefault="008E6992" w:rsidP="0010769B">
      <w:pPr>
        <w:tabs>
          <w:tab w:val="left" w:pos="567"/>
        </w:tabs>
        <w:spacing w:after="120" w:line="240" w:lineRule="auto"/>
        <w:jc w:val="both"/>
        <w:rPr>
          <w:rFonts w:ascii="Arial" w:hAnsi="Arial" w:cs="Arial"/>
          <w:b/>
          <w:sz w:val="24"/>
          <w:szCs w:val="24"/>
        </w:rPr>
      </w:pPr>
      <w:r>
        <w:rPr>
          <w:rFonts w:ascii="Arial" w:hAnsi="Arial" w:cs="Arial"/>
          <w:b/>
          <w:sz w:val="24"/>
          <w:szCs w:val="24"/>
        </w:rPr>
        <w:tab/>
      </w:r>
      <w:proofErr w:type="gramStart"/>
      <w:r w:rsidR="00814BB9" w:rsidRPr="00585E68">
        <w:rPr>
          <w:rFonts w:ascii="Arial" w:hAnsi="Arial" w:cs="Arial"/>
          <w:b/>
          <w:sz w:val="24"/>
          <w:szCs w:val="24"/>
        </w:rPr>
        <w:t>b</w:t>
      </w:r>
      <w:proofErr w:type="gramEnd"/>
      <w:r w:rsidR="00814BB9" w:rsidRPr="00585E68">
        <w:rPr>
          <w:rFonts w:ascii="Arial" w:hAnsi="Arial" w:cs="Arial"/>
          <w:b/>
          <w:sz w:val="24"/>
          <w:szCs w:val="24"/>
        </w:rPr>
        <w:t>. Kamu Yatırım Politikası</w:t>
      </w:r>
    </w:p>
    <w:p w:rsidR="00814BB9" w:rsidRPr="00D86959"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Kamu yatırımlarının büyümeye, özel kesim yatırımlarını desteklemeye, bölgelerin gelişme potansiyellerini harekete geçirmeye, istihdamı ve ülke refahını artırmaya katkısının azami sevi</w:t>
      </w:r>
      <w:r w:rsidR="005316EA" w:rsidRPr="00D86959">
        <w:rPr>
          <w:rFonts w:ascii="Arial" w:hAnsi="Arial" w:cs="Arial"/>
          <w:sz w:val="24"/>
          <w:szCs w:val="24"/>
        </w:rPr>
        <w:t>yeye çıkarılması temel amaçtır.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032574">
        <w:rPr>
          <w:rFonts w:ascii="Arial" w:hAnsi="Arial" w:cs="Arial"/>
          <w:sz w:val="24"/>
          <w:szCs w:val="24"/>
        </w:rPr>
        <w:t>Kamu yatırım ödenekleri özel sektörün üretken faaliyetlerini destekleyecek nitelikteki altyapı yatırımlarına yönlendirilecek, bu kapsamda, demiryolu, liman, lojistik merkezi gibi a</w:t>
      </w:r>
      <w:r w:rsidR="00AB2270" w:rsidRPr="0010769B">
        <w:rPr>
          <w:rFonts w:ascii="Arial" w:hAnsi="Arial" w:cs="Arial"/>
          <w:sz w:val="24"/>
          <w:szCs w:val="24"/>
        </w:rPr>
        <w:t>lanlara özel önem verilecektir.</w:t>
      </w:r>
    </w:p>
    <w:p w:rsidR="00814BB9" w:rsidRPr="00585E68"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 xml:space="preserve">Kamu yatırım projeleri </w:t>
      </w:r>
      <w:proofErr w:type="spellStart"/>
      <w:r w:rsidRPr="00585E68">
        <w:rPr>
          <w:rFonts w:ascii="Arial" w:hAnsi="Arial" w:cs="Arial"/>
          <w:sz w:val="24"/>
          <w:szCs w:val="24"/>
        </w:rPr>
        <w:t>önceliklendirilecek</w:t>
      </w:r>
      <w:proofErr w:type="spellEnd"/>
      <w:r w:rsidRPr="00585E68">
        <w:rPr>
          <w:rFonts w:ascii="Arial" w:hAnsi="Arial" w:cs="Arial"/>
          <w:sz w:val="24"/>
          <w:szCs w:val="24"/>
        </w:rPr>
        <w:t xml:space="preserve">, kısa sürede tamamlanacak projelere </w:t>
      </w:r>
      <w:r w:rsidR="00480650" w:rsidRPr="00585E68">
        <w:rPr>
          <w:rFonts w:ascii="Arial" w:hAnsi="Arial" w:cs="Arial"/>
          <w:sz w:val="24"/>
          <w:szCs w:val="24"/>
        </w:rPr>
        <w:t>odaklanılacak</w:t>
      </w:r>
      <w:r w:rsidRPr="00585E68">
        <w:rPr>
          <w:rFonts w:ascii="Arial" w:hAnsi="Arial" w:cs="Arial"/>
          <w:sz w:val="24"/>
          <w:szCs w:val="24"/>
        </w:rPr>
        <w:t>, mevcut sermaye stokundan daha etkin yararlanmak amacıyla idame-yenileme, bakım-onarım ve rehabilitasyon harc</w:t>
      </w:r>
      <w:r w:rsidR="00AB2270" w:rsidRPr="00585E68">
        <w:rPr>
          <w:rFonts w:ascii="Arial" w:hAnsi="Arial" w:cs="Arial"/>
          <w:sz w:val="24"/>
          <w:szCs w:val="24"/>
        </w:rPr>
        <w:t>amalarına ağırlık verilecektir.</w:t>
      </w:r>
    </w:p>
    <w:p w:rsidR="00814BB9" w:rsidRPr="00FF7774"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Kamu ve özel kesim yatırımları birbirlerini tamamlayacak şekilde bütüncül bir bakış açısıyla ele alınacak, kamu yatırımları, özel sektör tarafından gerçekleştirilemeyecek ekonomik ve sosyal altyapı al</w:t>
      </w:r>
      <w:r w:rsidR="00AB2270" w:rsidRPr="00FF7774">
        <w:rPr>
          <w:rFonts w:ascii="Arial" w:hAnsi="Arial" w:cs="Arial"/>
          <w:sz w:val="24"/>
          <w:szCs w:val="24"/>
        </w:rPr>
        <w:t>anlarında yoğunlaştırılacaktır.</w:t>
      </w:r>
    </w:p>
    <w:p w:rsidR="00814BB9" w:rsidRPr="00585E68"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Kamu yatırımlarında, KÖİ modeliyle yürütülenler dâhil, eğitim, sağlık, içme suyu ve kanalizasyon, bilim-teknoloji, bilişim, ulaştırma ve sulama sek</w:t>
      </w:r>
      <w:r w:rsidR="00AB2270" w:rsidRPr="00585E68">
        <w:rPr>
          <w:rFonts w:ascii="Arial" w:hAnsi="Arial" w:cs="Arial"/>
          <w:sz w:val="24"/>
          <w:szCs w:val="24"/>
        </w:rPr>
        <w:t>törlerine öncelik verilecektir.</w:t>
      </w:r>
    </w:p>
    <w:p w:rsidR="00814BB9" w:rsidRPr="00032574"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GAP, DAP, KOP ve DOKAP bölgele</w:t>
      </w:r>
      <w:r w:rsidR="005316EA" w:rsidRPr="00FF7774">
        <w:rPr>
          <w:rFonts w:ascii="Arial" w:hAnsi="Arial" w:cs="Arial"/>
          <w:sz w:val="24"/>
          <w:szCs w:val="24"/>
        </w:rPr>
        <w:t>rinde eylem planları kapsamında</w:t>
      </w:r>
      <w:r w:rsidRPr="00FF7774">
        <w:rPr>
          <w:rFonts w:ascii="Arial" w:hAnsi="Arial" w:cs="Arial"/>
          <w:sz w:val="24"/>
          <w:szCs w:val="24"/>
        </w:rPr>
        <w:t xml:space="preserve"> özel sektör yatırımlarını dest</w:t>
      </w:r>
      <w:r w:rsidRPr="00D86959">
        <w:rPr>
          <w:rFonts w:ascii="Arial" w:hAnsi="Arial" w:cs="Arial"/>
          <w:sz w:val="24"/>
          <w:szCs w:val="24"/>
        </w:rPr>
        <w:t>ekleyecek ekonomik ve sosyal altyapı ile beşeri kaynakların geliştirilmesine yönelik projelerin gerçekleştirilmesine devam edilecektir.</w:t>
      </w:r>
    </w:p>
    <w:p w:rsidR="00814BB9" w:rsidRPr="00032574"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032574">
        <w:rPr>
          <w:rFonts w:ascii="Arial" w:hAnsi="Arial" w:cs="Arial"/>
          <w:sz w:val="24"/>
          <w:szCs w:val="24"/>
        </w:rPr>
        <w:t xml:space="preserve">KÖİ politika ve uygulamalarının koordinasyonu </w:t>
      </w:r>
      <w:r w:rsidR="006948E9" w:rsidRPr="00032574">
        <w:rPr>
          <w:rFonts w:ascii="Arial" w:hAnsi="Arial" w:cs="Arial"/>
          <w:sz w:val="24"/>
          <w:szCs w:val="24"/>
        </w:rPr>
        <w:t>güçlendiril</w:t>
      </w:r>
      <w:r w:rsidR="006948E9">
        <w:rPr>
          <w:rFonts w:ascii="Arial" w:hAnsi="Arial" w:cs="Arial"/>
          <w:sz w:val="24"/>
          <w:szCs w:val="24"/>
          <w:lang w:val="tr-TR"/>
        </w:rPr>
        <w:t>ecek, bu modeli yoğunlukla</w:t>
      </w:r>
      <w:r w:rsidR="006948E9" w:rsidRPr="00032574">
        <w:rPr>
          <w:rFonts w:ascii="Arial" w:hAnsi="Arial" w:cs="Arial"/>
          <w:sz w:val="24"/>
          <w:szCs w:val="24"/>
        </w:rPr>
        <w:t xml:space="preserve"> </w:t>
      </w:r>
      <w:r w:rsidR="006948E9">
        <w:rPr>
          <w:rFonts w:ascii="Arial" w:hAnsi="Arial" w:cs="Arial"/>
          <w:sz w:val="24"/>
          <w:szCs w:val="24"/>
          <w:lang w:val="tr-TR"/>
        </w:rPr>
        <w:t>kullanan kuruluşlarda tasarım ve yönetim kapasitesi artırılacaktır.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Kamu yatırım projelerinin planlanması, uygulanması, izlenmesi ve değerlendirilmesi süreci güçlendirilecek, bu kapsamda kamu kurum ve kuruluşlarının kapasiteleri geliştirilecektir.</w:t>
      </w:r>
    </w:p>
    <w:p w:rsidR="00814BB9" w:rsidRPr="00585E68" w:rsidRDefault="008E6992" w:rsidP="0010769B">
      <w:pPr>
        <w:tabs>
          <w:tab w:val="left" w:pos="567"/>
        </w:tabs>
        <w:spacing w:after="120" w:line="240" w:lineRule="auto"/>
        <w:jc w:val="both"/>
        <w:rPr>
          <w:rFonts w:ascii="Arial" w:hAnsi="Arial" w:cs="Arial"/>
          <w:b/>
          <w:sz w:val="24"/>
          <w:szCs w:val="24"/>
        </w:rPr>
      </w:pPr>
      <w:r>
        <w:rPr>
          <w:rFonts w:ascii="Arial" w:hAnsi="Arial" w:cs="Arial"/>
          <w:b/>
          <w:sz w:val="24"/>
          <w:szCs w:val="24"/>
        </w:rPr>
        <w:tab/>
      </w:r>
      <w:proofErr w:type="gramStart"/>
      <w:r w:rsidR="00814BB9" w:rsidRPr="00585E68">
        <w:rPr>
          <w:rFonts w:ascii="Arial" w:hAnsi="Arial" w:cs="Arial"/>
          <w:b/>
          <w:sz w:val="24"/>
          <w:szCs w:val="24"/>
        </w:rPr>
        <w:t>c</w:t>
      </w:r>
      <w:proofErr w:type="gramEnd"/>
      <w:r w:rsidR="00814BB9" w:rsidRPr="00585E68">
        <w:rPr>
          <w:rFonts w:ascii="Arial" w:hAnsi="Arial" w:cs="Arial"/>
          <w:b/>
          <w:sz w:val="24"/>
          <w:szCs w:val="24"/>
        </w:rPr>
        <w:t>. Kamu Gelir Politikası</w:t>
      </w:r>
    </w:p>
    <w:p w:rsidR="00814BB9" w:rsidRPr="00D86959"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Kamu mali sisteminin ihtiyaç duyduğu finansmanın sağlıklı ve sürekli kaynaklardan elde edilmesi, gelir dağılımının iyileştirilmesi, sürdürülebilir kalkınmaya katkı sağlanması, tasarrufların artırılması ve ekonomiye rekabet gücü kazandırılması suretiyle mali, ekonomik ve sosyal amaçlara destek olan gelir politikaları uygulanacaktır.</w:t>
      </w:r>
    </w:p>
    <w:p w:rsidR="003D2B5B" w:rsidRPr="00585E68" w:rsidRDefault="00125CCC"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Dolaylı</w:t>
      </w:r>
      <w:r w:rsidR="006948E9">
        <w:rPr>
          <w:rFonts w:ascii="Arial" w:hAnsi="Arial" w:cs="Arial"/>
          <w:sz w:val="24"/>
          <w:szCs w:val="24"/>
          <w:lang w:val="tr-TR"/>
        </w:rPr>
        <w:t>-</w:t>
      </w:r>
      <w:r w:rsidRPr="00585E68">
        <w:rPr>
          <w:rFonts w:ascii="Arial" w:hAnsi="Arial" w:cs="Arial"/>
          <w:sz w:val="24"/>
          <w:szCs w:val="24"/>
        </w:rPr>
        <w:t>dolaysız vergi dağılımını daha dengeli kılmak, kaynakları üretken alanlara yönlendirmek ve t</w:t>
      </w:r>
      <w:r w:rsidR="00C91C44" w:rsidRPr="00585E68">
        <w:rPr>
          <w:rFonts w:ascii="Arial" w:hAnsi="Arial" w:cs="Arial"/>
          <w:sz w:val="24"/>
          <w:szCs w:val="24"/>
        </w:rPr>
        <w:t>üketimin aş</w:t>
      </w:r>
      <w:r w:rsidRPr="00585E68">
        <w:rPr>
          <w:rFonts w:ascii="Arial" w:hAnsi="Arial" w:cs="Arial"/>
          <w:sz w:val="24"/>
          <w:szCs w:val="24"/>
        </w:rPr>
        <w:t xml:space="preserve">ırı büyümesinin önüne geçilmesi </w:t>
      </w:r>
      <w:r w:rsidR="00C91C44" w:rsidRPr="00585E68">
        <w:rPr>
          <w:rFonts w:ascii="Arial" w:hAnsi="Arial" w:cs="Arial"/>
          <w:sz w:val="24"/>
          <w:szCs w:val="24"/>
        </w:rPr>
        <w:t xml:space="preserve">sürecinde ortaya çıkacak </w:t>
      </w:r>
      <w:r w:rsidRPr="00585E68">
        <w:rPr>
          <w:rFonts w:ascii="Arial" w:hAnsi="Arial" w:cs="Arial"/>
          <w:sz w:val="24"/>
          <w:szCs w:val="24"/>
        </w:rPr>
        <w:t>gelir kaybını</w:t>
      </w:r>
      <w:r w:rsidR="00C91C44" w:rsidRPr="00585E68">
        <w:rPr>
          <w:rFonts w:ascii="Arial" w:hAnsi="Arial" w:cs="Arial"/>
          <w:sz w:val="24"/>
          <w:szCs w:val="24"/>
        </w:rPr>
        <w:t xml:space="preserve"> telafi e</w:t>
      </w:r>
      <w:r w:rsidRPr="00585E68">
        <w:rPr>
          <w:rFonts w:ascii="Arial" w:hAnsi="Arial" w:cs="Arial"/>
          <w:sz w:val="24"/>
          <w:szCs w:val="24"/>
        </w:rPr>
        <w:t xml:space="preserve">tmek amacıyla </w:t>
      </w:r>
      <w:r w:rsidR="00FC653C" w:rsidRPr="00585E68">
        <w:rPr>
          <w:rFonts w:ascii="Arial" w:hAnsi="Arial" w:cs="Arial"/>
          <w:sz w:val="24"/>
          <w:szCs w:val="24"/>
        </w:rPr>
        <w:t>doğrudan vergi tahsilatını artıracak önlemler alınacaktır.</w:t>
      </w:r>
    </w:p>
    <w:p w:rsidR="00C91C44" w:rsidRPr="00FF7774" w:rsidRDefault="00C91C44"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Vergi sistemi, tasarrufları özendirme açısından gözden geçirilecektir.</w:t>
      </w:r>
    </w:p>
    <w:p w:rsidR="00814BB9" w:rsidRPr="00D86959"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Ekonominin uluslararası düzeyde rekabet edebilir bir yapıya kavuşturulmasına yönelik Ar-Ge faaliyetlerini ve yüksek katma değerli ürünlerin geliştirilmesini destekleyen vergi politikaları uygulanacaktır.</w:t>
      </w:r>
    </w:p>
    <w:p w:rsidR="00814BB9" w:rsidRPr="00032574"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032574">
        <w:rPr>
          <w:rFonts w:ascii="Arial" w:hAnsi="Arial" w:cs="Arial"/>
          <w:sz w:val="24"/>
          <w:szCs w:val="24"/>
        </w:rPr>
        <w:lastRenderedPageBreak/>
        <w:t>Ekonomik ve sosyal politikalar çerçevesinde temel vergi mevzuatının sade ve uyum sağlanabilir hale getirilmesine yönelik çalışmalar sürdürülecektir.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032574">
        <w:rPr>
          <w:rFonts w:ascii="Arial" w:hAnsi="Arial" w:cs="Arial"/>
          <w:sz w:val="24"/>
          <w:szCs w:val="24"/>
        </w:rPr>
        <w:t>Vergi mevzuat</w:t>
      </w:r>
      <w:r w:rsidR="006948E9">
        <w:rPr>
          <w:rFonts w:ascii="Arial" w:hAnsi="Arial" w:cs="Arial"/>
          <w:sz w:val="24"/>
          <w:szCs w:val="24"/>
          <w:lang w:val="tr-TR"/>
        </w:rPr>
        <w:t>ı</w:t>
      </w:r>
      <w:r w:rsidRPr="00032574">
        <w:rPr>
          <w:rFonts w:ascii="Arial" w:hAnsi="Arial" w:cs="Arial"/>
          <w:sz w:val="24"/>
          <w:szCs w:val="24"/>
        </w:rPr>
        <w:t xml:space="preserve"> ve uygulamaları, mükellef güvenini ve haklarını artırmayı gözeten bir</w:t>
      </w:r>
      <w:r w:rsidRPr="0010769B">
        <w:rPr>
          <w:rFonts w:ascii="Arial" w:hAnsi="Arial" w:cs="Arial"/>
          <w:sz w:val="24"/>
          <w:szCs w:val="24"/>
        </w:rPr>
        <w:t xml:space="preserve"> anlayışla </w:t>
      </w:r>
      <w:r w:rsidR="006948E9">
        <w:rPr>
          <w:rFonts w:ascii="Arial" w:hAnsi="Arial" w:cs="Arial"/>
          <w:sz w:val="24"/>
          <w:szCs w:val="24"/>
          <w:lang w:val="tr-TR"/>
        </w:rPr>
        <w:t>ele alınacaktır</w:t>
      </w:r>
      <w:r w:rsidRPr="0010769B">
        <w:rPr>
          <w:rFonts w:ascii="Arial" w:hAnsi="Arial" w:cs="Arial"/>
          <w:sz w:val="24"/>
          <w:szCs w:val="24"/>
        </w:rPr>
        <w:t xml:space="preserve">. </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Vergilemede istikrar ve öngörülebilirlik esas olacak; vergi mevzuatına ilişkin düzenlemeler toplumun ve ilgili tarafların katkılarının alındığı bir süreç içinde gerçekleştirilecektir.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Vergilemede gönüllü uyumun artırılması esas alınarak mükellef hizmetleri etkinleştirilecektir.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Vergi harcamalarının gözden geçirilmesi ve bu alanda kamuoyunun düzenli ve ayrıntılı olarak bilgilendirilmesi çalışmalarına hız verilecektir. </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Vergi sistemi, teknolojik ve uluslararası gelişmelerle birlikte ortaya çıkan ihtiyaçları karşılayacak şekilde geliştirilecektir. </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Haksız rekabetin önlenmesi, ekonomide rekabet gücünün ve kamu gelirlerinin artırılması amacıyla kayıt dışılıkla etkin bir şekilde mücadele edilecektir. Bu kapsamda; denetim kapasitesi artırılacak ve etkinleştirilecek</w:t>
      </w:r>
      <w:r w:rsidR="00A22AD0">
        <w:rPr>
          <w:rFonts w:ascii="Arial" w:hAnsi="Arial" w:cs="Arial"/>
          <w:sz w:val="24"/>
          <w:szCs w:val="24"/>
          <w:lang w:val="tr-TR"/>
        </w:rPr>
        <w:t>;</w:t>
      </w:r>
      <w:r w:rsidRPr="0010769B">
        <w:rPr>
          <w:rFonts w:ascii="Arial" w:hAnsi="Arial" w:cs="Arial"/>
          <w:sz w:val="24"/>
          <w:szCs w:val="24"/>
        </w:rPr>
        <w:t xml:space="preserve"> idarelerin uygulama kapasitesi ve bilişim altyapısı geliştirilecek</w:t>
      </w:r>
      <w:r w:rsidR="00A22AD0">
        <w:rPr>
          <w:rFonts w:ascii="Arial" w:hAnsi="Arial" w:cs="Arial"/>
          <w:sz w:val="24"/>
          <w:szCs w:val="24"/>
          <w:lang w:val="tr-TR"/>
        </w:rPr>
        <w:t>;</w:t>
      </w:r>
      <w:r w:rsidR="00A22AD0" w:rsidRPr="0010769B">
        <w:rPr>
          <w:rFonts w:ascii="Arial" w:hAnsi="Arial" w:cs="Arial"/>
          <w:sz w:val="24"/>
          <w:szCs w:val="24"/>
        </w:rPr>
        <w:t xml:space="preserve"> </w:t>
      </w:r>
      <w:r w:rsidRPr="0010769B">
        <w:rPr>
          <w:rFonts w:ascii="Arial" w:hAnsi="Arial" w:cs="Arial"/>
          <w:sz w:val="24"/>
          <w:szCs w:val="24"/>
        </w:rPr>
        <w:t>kaçakçılıkla mücadele, kurumlar arası işbirliği ile veri paylaşımı artırılacak ve toplumsal farkındalık yaygınlaştırılacaktır.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Kamu mali dengelerinin imkân verdiği ölçüde, ekonomik faaliyetler üzerinde yük oluşturan işlem vergilerinde indirime gidilecektir.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Vergi politikalarının belirlenmesinde ve uygu</w:t>
      </w:r>
      <w:r w:rsidR="002157BA" w:rsidRPr="0010769B">
        <w:rPr>
          <w:rFonts w:ascii="Arial" w:hAnsi="Arial" w:cs="Arial"/>
          <w:sz w:val="24"/>
          <w:szCs w:val="24"/>
        </w:rPr>
        <w:t>lanmasında, iklim değişikliği ve çevre kirliliğiyle</w:t>
      </w:r>
      <w:r w:rsidRPr="0010769B">
        <w:rPr>
          <w:rFonts w:ascii="Arial" w:hAnsi="Arial" w:cs="Arial"/>
          <w:sz w:val="24"/>
          <w:szCs w:val="24"/>
        </w:rPr>
        <w:t xml:space="preserve"> mücadele edilmesine ve enerji tüketiminde tasarruf sağlanmasına yönelik öncelikler gözetilecektir.</w:t>
      </w:r>
    </w:p>
    <w:p w:rsidR="00A05E4A" w:rsidRPr="00585E68" w:rsidRDefault="00A05E4A"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Yerel yönetimlerin öz gelirleri sosyal ve ekonomik amaçlar gözetilerek artırılacaktır. Bu kapsamda emlak vergisi sisteminin gözden</w:t>
      </w:r>
      <w:r w:rsidR="007A320B" w:rsidRPr="00585E68">
        <w:rPr>
          <w:rFonts w:ascii="Arial" w:hAnsi="Arial" w:cs="Arial"/>
          <w:sz w:val="24"/>
          <w:szCs w:val="24"/>
        </w:rPr>
        <w:t xml:space="preserve"> </w:t>
      </w:r>
      <w:r w:rsidRPr="00585E68">
        <w:rPr>
          <w:rFonts w:ascii="Arial" w:hAnsi="Arial" w:cs="Arial"/>
          <w:sz w:val="24"/>
          <w:szCs w:val="24"/>
        </w:rPr>
        <w:t>geçirilmesine</w:t>
      </w:r>
      <w:r w:rsidR="007A320B" w:rsidRPr="00585E68">
        <w:rPr>
          <w:rFonts w:ascii="Arial" w:hAnsi="Arial" w:cs="Arial"/>
          <w:sz w:val="24"/>
          <w:szCs w:val="24"/>
        </w:rPr>
        <w:t xml:space="preserve"> ve yerel vergilerin genel vergi sistemine uyumunun sağlanmasına </w:t>
      </w:r>
      <w:r w:rsidRPr="00585E68">
        <w:rPr>
          <w:rFonts w:ascii="Arial" w:hAnsi="Arial" w:cs="Arial"/>
          <w:sz w:val="24"/>
          <w:szCs w:val="24"/>
        </w:rPr>
        <w:t>öncelik verilecektir.</w:t>
      </w:r>
    </w:p>
    <w:p w:rsidR="00515E74" w:rsidRPr="00D86959" w:rsidRDefault="00305490"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Pr>
          <w:rFonts w:ascii="Arial" w:hAnsi="Arial" w:cs="Arial"/>
          <w:sz w:val="24"/>
          <w:szCs w:val="24"/>
          <w:lang w:val="tr-TR"/>
        </w:rPr>
        <w:t xml:space="preserve">İmar planı değişiklikleri ve kamu yatırımları sonucunda </w:t>
      </w:r>
      <w:r w:rsidRPr="00C15C8B">
        <w:rPr>
          <w:rFonts w:ascii="Arial" w:hAnsi="Arial" w:cs="Arial"/>
          <w:sz w:val="24"/>
          <w:szCs w:val="24"/>
        </w:rPr>
        <w:t xml:space="preserve">oluşacak </w:t>
      </w:r>
      <w:r>
        <w:rPr>
          <w:rFonts w:ascii="Arial" w:hAnsi="Arial" w:cs="Arial"/>
          <w:sz w:val="24"/>
          <w:szCs w:val="24"/>
          <w:lang w:val="tr-TR"/>
        </w:rPr>
        <w:t xml:space="preserve">gayrimenkul </w:t>
      </w:r>
      <w:r>
        <w:rPr>
          <w:rFonts w:ascii="Arial" w:hAnsi="Arial" w:cs="Arial"/>
          <w:sz w:val="24"/>
          <w:szCs w:val="24"/>
        </w:rPr>
        <w:t>değer artışlarından</w:t>
      </w:r>
      <w:r w:rsidRPr="00C15C8B">
        <w:rPr>
          <w:rFonts w:ascii="Arial" w:hAnsi="Arial" w:cs="Arial"/>
          <w:sz w:val="24"/>
          <w:szCs w:val="24"/>
        </w:rPr>
        <w:t xml:space="preserve"> kamu</w:t>
      </w:r>
      <w:r>
        <w:rPr>
          <w:rFonts w:ascii="Arial" w:hAnsi="Arial" w:cs="Arial"/>
          <w:sz w:val="24"/>
          <w:szCs w:val="24"/>
        </w:rPr>
        <w:t>nun pay almas</w:t>
      </w:r>
      <w:r>
        <w:rPr>
          <w:rFonts w:ascii="Arial" w:hAnsi="Arial" w:cs="Arial"/>
          <w:sz w:val="24"/>
          <w:szCs w:val="24"/>
          <w:lang w:val="tr-TR"/>
        </w:rPr>
        <w:t>ın</w:t>
      </w:r>
      <w:r>
        <w:rPr>
          <w:rFonts w:ascii="Arial" w:hAnsi="Arial" w:cs="Arial"/>
          <w:sz w:val="24"/>
          <w:szCs w:val="24"/>
        </w:rPr>
        <w:t xml:space="preserve">ı ve </w:t>
      </w:r>
      <w:r w:rsidR="007F65C7" w:rsidRPr="00FF7774">
        <w:rPr>
          <w:rFonts w:ascii="Arial" w:hAnsi="Arial" w:cs="Arial"/>
          <w:sz w:val="24"/>
          <w:szCs w:val="24"/>
        </w:rPr>
        <w:t>gayrimenkullerde</w:t>
      </w:r>
      <w:r w:rsidR="00515E74" w:rsidRPr="00FF7774">
        <w:rPr>
          <w:rFonts w:ascii="Arial" w:hAnsi="Arial" w:cs="Arial"/>
          <w:sz w:val="24"/>
          <w:szCs w:val="24"/>
        </w:rPr>
        <w:t xml:space="preserve"> değer artışına yol açacak bazı kamu yatırımlarına yararlanıcıların katkıda bulunmasını </w:t>
      </w:r>
      <w:r>
        <w:rPr>
          <w:rFonts w:ascii="Arial" w:hAnsi="Arial" w:cs="Arial"/>
          <w:sz w:val="24"/>
          <w:szCs w:val="24"/>
          <w:lang w:val="tr-TR"/>
        </w:rPr>
        <w:t xml:space="preserve">sağlayacak bir sistem geliştirilecektir. </w:t>
      </w:r>
    </w:p>
    <w:p w:rsidR="00814BB9" w:rsidRPr="00032574"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032574">
        <w:rPr>
          <w:rFonts w:ascii="Arial" w:hAnsi="Arial" w:cs="Arial"/>
          <w:sz w:val="24"/>
          <w:szCs w:val="24"/>
        </w:rPr>
        <w:t>Sosyal Güvenlik Kurumunun takipteki alacaklarına ilişkin tahsil kapasitesini artıracak önlemler alınarak tahsilat süreci hızlandırılacaktır.</w:t>
      </w:r>
    </w:p>
    <w:p w:rsidR="00814BB9" w:rsidRPr="00585E68" w:rsidRDefault="008E6992" w:rsidP="0010769B">
      <w:pPr>
        <w:tabs>
          <w:tab w:val="left" w:pos="567"/>
        </w:tabs>
        <w:spacing w:after="120" w:line="240" w:lineRule="auto"/>
        <w:jc w:val="both"/>
        <w:rPr>
          <w:rFonts w:ascii="Arial" w:hAnsi="Arial" w:cs="Arial"/>
          <w:b/>
          <w:sz w:val="24"/>
          <w:szCs w:val="24"/>
        </w:rPr>
      </w:pPr>
      <w:r>
        <w:rPr>
          <w:rFonts w:ascii="Arial" w:hAnsi="Arial" w:cs="Arial"/>
          <w:b/>
          <w:sz w:val="24"/>
          <w:szCs w:val="24"/>
        </w:rPr>
        <w:tab/>
      </w:r>
      <w:proofErr w:type="gramStart"/>
      <w:r w:rsidR="00814BB9" w:rsidRPr="00585E68">
        <w:rPr>
          <w:rFonts w:ascii="Arial" w:hAnsi="Arial" w:cs="Arial"/>
          <w:b/>
          <w:sz w:val="24"/>
          <w:szCs w:val="24"/>
        </w:rPr>
        <w:t>ç</w:t>
      </w:r>
      <w:proofErr w:type="gramEnd"/>
      <w:r w:rsidR="00814BB9" w:rsidRPr="00585E68">
        <w:rPr>
          <w:rFonts w:ascii="Arial" w:hAnsi="Arial" w:cs="Arial"/>
          <w:b/>
          <w:sz w:val="24"/>
          <w:szCs w:val="24"/>
        </w:rPr>
        <w:t>. Kamu Borçlanma Politikası</w:t>
      </w:r>
    </w:p>
    <w:p w:rsidR="00814BB9" w:rsidRPr="00D86959"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Makroekonomik dengeleri gözeten; para ve maliye politikalarıyla uyumlu; sürdürülebilir, saydam ve hesap verilebilir bir borçlanma politikası izlenmesi esastır. Kamu borçlanma politikası, iç ve dış piyasa koşulları ile maliyet unsurları göz önüne alınarak belirlenen risk düzeyi çerçevesinde, finansman ihtiyacının orta ve uzun vadede mümkün olan en uygun maliyetle karşılanmasını sağlayacak şekilde yürütülecektir.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032574">
        <w:rPr>
          <w:rFonts w:ascii="Arial" w:hAnsi="Arial" w:cs="Arial"/>
          <w:sz w:val="24"/>
          <w:szCs w:val="24"/>
        </w:rPr>
        <w:t>Borç portföyünün maruz kaldığı likidite, faiz ve kur risklerinin kontrol edilmesi amacıyla stratejik ölçütlere dayalı borçlanma politikalarının uygulanmasına devam edilecektir. Bu kapsamda</w:t>
      </w:r>
      <w:r w:rsidR="00A22AD0">
        <w:rPr>
          <w:rFonts w:ascii="Arial" w:hAnsi="Arial" w:cs="Arial"/>
          <w:sz w:val="24"/>
          <w:szCs w:val="24"/>
          <w:lang w:val="tr-TR"/>
        </w:rPr>
        <w:t>,</w:t>
      </w:r>
      <w:r w:rsidRPr="00032574">
        <w:rPr>
          <w:rFonts w:ascii="Arial" w:hAnsi="Arial" w:cs="Arial"/>
          <w:sz w:val="24"/>
          <w:szCs w:val="24"/>
        </w:rPr>
        <w:t xml:space="preserve"> güçlü rezerv tutulması, ortalama vadenin piyasa koşulları elverdiği ölçüde uzatılması, borçlanmanın ağırlıklı olarak T</w:t>
      </w:r>
      <w:r w:rsidR="002D503A">
        <w:rPr>
          <w:rFonts w:ascii="Arial" w:hAnsi="Arial" w:cs="Arial"/>
          <w:sz w:val="24"/>
          <w:szCs w:val="24"/>
          <w:lang w:val="tr-TR"/>
        </w:rPr>
        <w:t xml:space="preserve">ürk </w:t>
      </w:r>
      <w:r w:rsidRPr="00032574">
        <w:rPr>
          <w:rFonts w:ascii="Arial" w:hAnsi="Arial" w:cs="Arial"/>
          <w:sz w:val="24"/>
          <w:szCs w:val="24"/>
        </w:rPr>
        <w:t>L</w:t>
      </w:r>
      <w:r w:rsidR="002D503A">
        <w:rPr>
          <w:rFonts w:ascii="Arial" w:hAnsi="Arial" w:cs="Arial"/>
          <w:sz w:val="24"/>
          <w:szCs w:val="24"/>
          <w:lang w:val="tr-TR"/>
        </w:rPr>
        <w:t>irası</w:t>
      </w:r>
      <w:r w:rsidRPr="00032574">
        <w:rPr>
          <w:rFonts w:ascii="Arial" w:hAnsi="Arial" w:cs="Arial"/>
          <w:sz w:val="24"/>
          <w:szCs w:val="24"/>
        </w:rPr>
        <w:t xml:space="preserve"> cinsinden ve sabit f</w:t>
      </w:r>
      <w:r w:rsidR="00D03ED9" w:rsidRPr="0010769B">
        <w:rPr>
          <w:rFonts w:ascii="Arial" w:hAnsi="Arial" w:cs="Arial"/>
          <w:sz w:val="24"/>
          <w:szCs w:val="24"/>
        </w:rPr>
        <w:t>aizli enstrümanlarla yapılması</w:t>
      </w:r>
      <w:r w:rsidRPr="0010769B">
        <w:rPr>
          <w:rFonts w:ascii="Arial" w:hAnsi="Arial" w:cs="Arial"/>
          <w:sz w:val="24"/>
          <w:szCs w:val="24"/>
        </w:rPr>
        <w:t xml:space="preserve"> uygulanacak politikaların temel unsurları olacaktır.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lastRenderedPageBreak/>
        <w:t xml:space="preserve">KÖİ </w:t>
      </w:r>
      <w:proofErr w:type="spellStart"/>
      <w:r w:rsidRPr="0010769B">
        <w:rPr>
          <w:rFonts w:ascii="Arial" w:hAnsi="Arial" w:cs="Arial"/>
          <w:sz w:val="24"/>
          <w:szCs w:val="24"/>
        </w:rPr>
        <w:t>modeli</w:t>
      </w:r>
      <w:r w:rsidR="00EF1C16">
        <w:rPr>
          <w:rFonts w:ascii="Arial" w:hAnsi="Arial" w:cs="Arial"/>
          <w:sz w:val="24"/>
          <w:szCs w:val="24"/>
          <w:lang w:val="tr-TR"/>
        </w:rPr>
        <w:t>y</w:t>
      </w:r>
      <w:proofErr w:type="spellEnd"/>
      <w:r w:rsidRPr="0010769B">
        <w:rPr>
          <w:rFonts w:ascii="Arial" w:hAnsi="Arial" w:cs="Arial"/>
          <w:sz w:val="24"/>
          <w:szCs w:val="24"/>
        </w:rPr>
        <w:t>le gerçekleştirilenler de dâhil olmak üzere kamu yatırımları kapsamında sağlanan garanti ve taahhütlerden kaynaklanan koşullu yükümlülüklerin borç stoku ve sürdürülebilirliği üzerinde oluşturabileceği risklerin izlenmesi ve yönetilmesi çalışmaları sürdürülecektir.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Borç servisinin dönemler arası dengeli dağılmasının sağlanması ve ikincil piyasada fiyat etkinliğinin artırılması amacıyla değişim ve geri alım ihaleleri yapılabilecektir.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İkincil piyasalarda sağlıklı bir verim eğrisinin oluşturulması ve likiditenin sağlanmasına yönelik olarak senetlerin azalan vadelerde yeniden ihraç edilmesi ve ölçüt senet politikası gibi uygulamalara devam edilecektir.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Devlet iç borçlanma senetleri yatırımcı tabanının genişletilmesi amacıyla yeni araçların ve yatırımcı ilişkilerinin geliştirilmesine ilişkin çalışmalara devam edilecektir.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Tahvil piyasalarının geliştirilmesi amacıyla çalışmalara devam edilecektir.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Piyasa yapıcılığı sistemi sürdürülecektir.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Etkin </w:t>
      </w:r>
      <w:r w:rsidR="00EF1C16">
        <w:rPr>
          <w:rFonts w:ascii="Arial" w:hAnsi="Arial" w:cs="Arial"/>
          <w:sz w:val="24"/>
          <w:szCs w:val="24"/>
          <w:lang w:val="tr-TR"/>
        </w:rPr>
        <w:t>h</w:t>
      </w:r>
      <w:proofErr w:type="spellStart"/>
      <w:r w:rsidRPr="0010769B">
        <w:rPr>
          <w:rFonts w:ascii="Arial" w:hAnsi="Arial" w:cs="Arial"/>
          <w:sz w:val="24"/>
          <w:szCs w:val="24"/>
        </w:rPr>
        <w:t>azine</w:t>
      </w:r>
      <w:proofErr w:type="spellEnd"/>
      <w:r w:rsidRPr="0010769B">
        <w:rPr>
          <w:rFonts w:ascii="Arial" w:hAnsi="Arial" w:cs="Arial"/>
          <w:sz w:val="24"/>
          <w:szCs w:val="24"/>
        </w:rPr>
        <w:t xml:space="preserve"> nakit yönetimi kapsamında </w:t>
      </w:r>
      <w:r w:rsidR="00821553">
        <w:rPr>
          <w:rFonts w:ascii="Arial" w:hAnsi="Arial" w:cs="Arial"/>
          <w:sz w:val="24"/>
          <w:szCs w:val="24"/>
          <w:lang w:val="tr-TR"/>
        </w:rPr>
        <w:t xml:space="preserve">8/11/2008 tarihli ve 27048 sayılı Resmi </w:t>
      </w:r>
      <w:proofErr w:type="spellStart"/>
      <w:r w:rsidR="00821553">
        <w:rPr>
          <w:rFonts w:ascii="Arial" w:hAnsi="Arial" w:cs="Arial"/>
          <w:sz w:val="24"/>
          <w:szCs w:val="24"/>
          <w:lang w:val="tr-TR"/>
        </w:rPr>
        <w:t>Gazete’de</w:t>
      </w:r>
      <w:proofErr w:type="spellEnd"/>
      <w:r w:rsidR="00821553">
        <w:rPr>
          <w:rFonts w:ascii="Arial" w:hAnsi="Arial" w:cs="Arial"/>
          <w:sz w:val="24"/>
          <w:szCs w:val="24"/>
          <w:lang w:val="tr-TR"/>
        </w:rPr>
        <w:t xml:space="preserve"> yayımlanan </w:t>
      </w:r>
      <w:r w:rsidRPr="0010769B">
        <w:rPr>
          <w:rFonts w:ascii="Arial" w:hAnsi="Arial" w:cs="Arial"/>
          <w:sz w:val="24"/>
          <w:szCs w:val="24"/>
        </w:rPr>
        <w:t>Para Piyasası Nakit İşlemleri Aracılığı ile Sağlanacak Finansman Hakkında Yönetmelikte yer alan finansman araçları kullanılabilecektir.</w:t>
      </w:r>
    </w:p>
    <w:p w:rsidR="00814BB9" w:rsidRPr="00585E68" w:rsidRDefault="008E6992" w:rsidP="0010769B">
      <w:pPr>
        <w:tabs>
          <w:tab w:val="left" w:pos="567"/>
        </w:tabs>
        <w:spacing w:after="120" w:line="240" w:lineRule="auto"/>
        <w:jc w:val="both"/>
        <w:rPr>
          <w:rFonts w:ascii="Arial" w:hAnsi="Arial" w:cs="Arial"/>
          <w:b/>
          <w:sz w:val="24"/>
          <w:szCs w:val="24"/>
        </w:rPr>
      </w:pPr>
      <w:r>
        <w:rPr>
          <w:rFonts w:ascii="Arial" w:hAnsi="Arial" w:cs="Arial"/>
          <w:b/>
          <w:sz w:val="24"/>
          <w:szCs w:val="24"/>
        </w:rPr>
        <w:tab/>
      </w:r>
      <w:proofErr w:type="gramStart"/>
      <w:r w:rsidR="00814BB9" w:rsidRPr="00585E68">
        <w:rPr>
          <w:rFonts w:ascii="Arial" w:hAnsi="Arial" w:cs="Arial"/>
          <w:b/>
          <w:sz w:val="24"/>
          <w:szCs w:val="24"/>
        </w:rPr>
        <w:t>d</w:t>
      </w:r>
      <w:proofErr w:type="gramEnd"/>
      <w:r w:rsidR="00814BB9" w:rsidRPr="00585E68">
        <w:rPr>
          <w:rFonts w:ascii="Arial" w:hAnsi="Arial" w:cs="Arial"/>
          <w:b/>
          <w:sz w:val="24"/>
          <w:szCs w:val="24"/>
        </w:rPr>
        <w:t>. Kamu Mali Yönetimi ve Denetim</w:t>
      </w:r>
    </w:p>
    <w:p w:rsidR="00814BB9" w:rsidRPr="00FF7774"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 xml:space="preserve">Kurum bütçelerinin stratejik plan ve performans programlarıyla ilişkisi güçlendirilecek ve çok yıllı bütçeleme anlayışının kamu idareleri tarafından daha fazla benimsenmesi sağlanacaktır. </w:t>
      </w:r>
    </w:p>
    <w:p w:rsidR="00814BB9" w:rsidRPr="00032574"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D86959">
        <w:rPr>
          <w:rFonts w:ascii="Arial" w:hAnsi="Arial" w:cs="Arial"/>
          <w:sz w:val="24"/>
          <w:szCs w:val="24"/>
        </w:rPr>
        <w:t>Kamu mali yönetimi reformuyla amaçlanan faydanın temin edil</w:t>
      </w:r>
      <w:r w:rsidRPr="00032574">
        <w:rPr>
          <w:rFonts w:ascii="Arial" w:hAnsi="Arial" w:cs="Arial"/>
          <w:sz w:val="24"/>
          <w:szCs w:val="24"/>
        </w:rPr>
        <w:t>ebilmesini sağlamak üzere uygulama etkinliği artırılacak, reformdan sapma olarak değerlendirilebilecek düzenleme, istisna hükümleri ve uygulamalardan kaçınılacaktır.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Kamu idarelerinin faaliyetlerinin, iç kontrol ve iç denetim standartlarına uyum düzeyinin artırılması sağlanacaktır.</w:t>
      </w:r>
    </w:p>
    <w:p w:rsidR="00814BB9" w:rsidRPr="00585E68"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 xml:space="preserve">Kamu mali yönetiminin </w:t>
      </w:r>
      <w:r w:rsidR="00480650" w:rsidRPr="00585E68">
        <w:rPr>
          <w:rFonts w:ascii="Arial" w:hAnsi="Arial" w:cs="Arial"/>
          <w:sz w:val="24"/>
          <w:szCs w:val="24"/>
        </w:rPr>
        <w:t xml:space="preserve">beşeri </w:t>
      </w:r>
      <w:r w:rsidRPr="00585E68">
        <w:rPr>
          <w:rFonts w:ascii="Arial" w:hAnsi="Arial" w:cs="Arial"/>
          <w:sz w:val="24"/>
          <w:szCs w:val="24"/>
        </w:rPr>
        <w:t>kaynak altyapısı nitelik ve nicelik olarak güçlendirilecektir.</w:t>
      </w:r>
    </w:p>
    <w:p w:rsidR="00814BB9" w:rsidRPr="00FF7774"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Kamuda etkin bir dış denetimin sağlanması için Sayıştay’ın uygulama altyapısı güçlendirilecektir.</w:t>
      </w:r>
    </w:p>
    <w:p w:rsidR="00814BB9" w:rsidRPr="00585E68" w:rsidRDefault="008E6992" w:rsidP="0010769B">
      <w:pPr>
        <w:tabs>
          <w:tab w:val="left" w:pos="567"/>
        </w:tabs>
        <w:spacing w:after="120" w:line="240" w:lineRule="auto"/>
        <w:jc w:val="both"/>
        <w:rPr>
          <w:rFonts w:ascii="Arial" w:hAnsi="Arial" w:cs="Arial"/>
          <w:b/>
          <w:sz w:val="24"/>
          <w:szCs w:val="24"/>
        </w:rPr>
      </w:pPr>
      <w:r>
        <w:rPr>
          <w:rFonts w:ascii="Arial" w:hAnsi="Arial" w:cs="Arial"/>
          <w:b/>
          <w:sz w:val="24"/>
          <w:szCs w:val="24"/>
        </w:rPr>
        <w:tab/>
      </w:r>
      <w:proofErr w:type="gramStart"/>
      <w:r w:rsidR="00814BB9" w:rsidRPr="00585E68">
        <w:rPr>
          <w:rFonts w:ascii="Arial" w:hAnsi="Arial" w:cs="Arial"/>
          <w:b/>
          <w:sz w:val="24"/>
          <w:szCs w:val="24"/>
        </w:rPr>
        <w:t>e</w:t>
      </w:r>
      <w:proofErr w:type="gramEnd"/>
      <w:r w:rsidR="00814BB9" w:rsidRPr="00585E68">
        <w:rPr>
          <w:rFonts w:ascii="Arial" w:hAnsi="Arial" w:cs="Arial"/>
          <w:b/>
          <w:sz w:val="24"/>
          <w:szCs w:val="24"/>
        </w:rPr>
        <w:t>. Kamu İktisadi Teşebbüsleri ve Özelleştirme</w:t>
      </w:r>
    </w:p>
    <w:p w:rsidR="00814BB9" w:rsidRPr="00FF7774"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KİT’lerin kârlılık, verimlilik ve kurumsal yönetim ilkelerine uygun olarak</w:t>
      </w:r>
      <w:r w:rsidR="00034484" w:rsidRPr="00FF7774">
        <w:rPr>
          <w:rFonts w:ascii="Arial" w:hAnsi="Arial" w:cs="Arial"/>
          <w:sz w:val="24"/>
          <w:szCs w:val="24"/>
        </w:rPr>
        <w:t xml:space="preserve"> </w:t>
      </w:r>
      <w:r w:rsidRPr="00FF7774">
        <w:rPr>
          <w:rFonts w:ascii="Arial" w:hAnsi="Arial" w:cs="Arial"/>
          <w:sz w:val="24"/>
          <w:szCs w:val="24"/>
        </w:rPr>
        <w:t>işletilmesi esastır.</w:t>
      </w:r>
    </w:p>
    <w:p w:rsidR="00814BB9" w:rsidRPr="0010769B" w:rsidRDefault="00034484"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D86959">
        <w:rPr>
          <w:rFonts w:ascii="Arial" w:hAnsi="Arial" w:cs="Arial"/>
          <w:sz w:val="24"/>
          <w:szCs w:val="24"/>
        </w:rPr>
        <w:t>Fiyatlandırma</w:t>
      </w:r>
      <w:r w:rsidR="00814BB9" w:rsidRPr="00032574">
        <w:rPr>
          <w:rFonts w:ascii="Arial" w:hAnsi="Arial" w:cs="Arial"/>
          <w:sz w:val="24"/>
          <w:szCs w:val="24"/>
        </w:rPr>
        <w:t xml:space="preserve"> başta</w:t>
      </w:r>
      <w:r w:rsidR="00EF1C16">
        <w:rPr>
          <w:rFonts w:ascii="Arial" w:hAnsi="Arial" w:cs="Arial"/>
          <w:sz w:val="24"/>
          <w:szCs w:val="24"/>
          <w:lang w:val="tr-TR"/>
        </w:rPr>
        <w:t xml:space="preserve"> </w:t>
      </w:r>
      <w:r w:rsidR="00814BB9" w:rsidRPr="00032574">
        <w:rPr>
          <w:rFonts w:ascii="Arial" w:hAnsi="Arial" w:cs="Arial"/>
          <w:sz w:val="24"/>
          <w:szCs w:val="24"/>
        </w:rPr>
        <w:t>olmak</w:t>
      </w:r>
      <w:r w:rsidR="00EF1C16">
        <w:rPr>
          <w:rFonts w:ascii="Arial" w:hAnsi="Arial" w:cs="Arial"/>
          <w:sz w:val="24"/>
          <w:szCs w:val="24"/>
          <w:lang w:val="tr-TR"/>
        </w:rPr>
        <w:t xml:space="preserve"> </w:t>
      </w:r>
      <w:r w:rsidR="00814BB9" w:rsidRPr="00032574">
        <w:rPr>
          <w:rFonts w:ascii="Arial" w:hAnsi="Arial" w:cs="Arial"/>
          <w:sz w:val="24"/>
          <w:szCs w:val="24"/>
        </w:rPr>
        <w:t>üzere</w:t>
      </w:r>
      <w:r w:rsidR="00814BB9" w:rsidRPr="00032574">
        <w:rPr>
          <w:rFonts w:ascii="Arial" w:hAnsi="Arial" w:cs="Arial"/>
          <w:sz w:val="24"/>
          <w:szCs w:val="24"/>
        </w:rPr>
        <w:tab/>
        <w:t>KİT’lerin tüm işletmecilik politikaları, stratejik planlar ile genel yatırım ve finansman kararnamelerinde öngör</w:t>
      </w:r>
      <w:r w:rsidRPr="0010769B">
        <w:rPr>
          <w:rFonts w:ascii="Arial" w:hAnsi="Arial" w:cs="Arial"/>
          <w:sz w:val="24"/>
          <w:szCs w:val="24"/>
        </w:rPr>
        <w:t xml:space="preserve">ülen hedeflere ulaşacak şekilde </w:t>
      </w:r>
      <w:r w:rsidR="00814BB9" w:rsidRPr="0010769B">
        <w:rPr>
          <w:rFonts w:ascii="Arial" w:hAnsi="Arial" w:cs="Arial"/>
          <w:sz w:val="24"/>
          <w:szCs w:val="24"/>
        </w:rPr>
        <w:t>belirlenecek ve etkin</w:t>
      </w:r>
      <w:r w:rsidRPr="0010769B">
        <w:rPr>
          <w:rFonts w:ascii="Arial" w:hAnsi="Arial" w:cs="Arial"/>
          <w:sz w:val="24"/>
          <w:szCs w:val="24"/>
        </w:rPr>
        <w:t xml:space="preserve"> </w:t>
      </w:r>
      <w:r w:rsidR="00814BB9" w:rsidRPr="0010769B">
        <w:rPr>
          <w:rFonts w:ascii="Arial" w:hAnsi="Arial" w:cs="Arial"/>
          <w:sz w:val="24"/>
          <w:szCs w:val="24"/>
        </w:rPr>
        <w:t>bir şekilde uy</w:t>
      </w:r>
      <w:r w:rsidRPr="0010769B">
        <w:rPr>
          <w:rFonts w:ascii="Arial" w:hAnsi="Arial" w:cs="Arial"/>
          <w:sz w:val="24"/>
          <w:szCs w:val="24"/>
        </w:rPr>
        <w:t xml:space="preserve">gulanacaktır. KİT faaliyetleri, </w:t>
      </w:r>
      <w:r w:rsidR="00814BB9" w:rsidRPr="0010769B">
        <w:rPr>
          <w:rFonts w:ascii="Arial" w:hAnsi="Arial" w:cs="Arial"/>
          <w:sz w:val="24"/>
          <w:szCs w:val="24"/>
        </w:rPr>
        <w:t>piyasa mekanizmasını bozucu etkiye neden olmayacak şekilde yürütülecektir.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KİT’lerde; yetkilendirmeyi, hesap verebilirliği, şeffaflığı, karar alma süreçlerinde etkinliği ve performansa dayalı yönetimi esas alan stratejik yönetim anlayışı yaygınlaştırılacaktır.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KİT mevzuatı </w:t>
      </w:r>
      <w:r w:rsidR="00034484" w:rsidRPr="0010769B">
        <w:rPr>
          <w:rFonts w:ascii="Arial" w:hAnsi="Arial" w:cs="Arial"/>
          <w:sz w:val="24"/>
          <w:szCs w:val="24"/>
        </w:rPr>
        <w:t>değişen</w:t>
      </w:r>
      <w:r w:rsidRPr="0010769B">
        <w:rPr>
          <w:rFonts w:ascii="Arial" w:hAnsi="Arial" w:cs="Arial"/>
          <w:sz w:val="24"/>
          <w:szCs w:val="24"/>
        </w:rPr>
        <w:t xml:space="preserve"> şartlara uygun şekilde yenilen</w:t>
      </w:r>
      <w:r w:rsidR="006C7561">
        <w:rPr>
          <w:rFonts w:ascii="Arial" w:hAnsi="Arial" w:cs="Arial"/>
          <w:sz w:val="24"/>
          <w:szCs w:val="24"/>
          <w:lang w:val="tr-TR"/>
        </w:rPr>
        <w:t>ecektir</w:t>
      </w:r>
      <w:r w:rsidRPr="0010769B">
        <w:rPr>
          <w:rFonts w:ascii="Arial" w:hAnsi="Arial" w:cs="Arial"/>
          <w:sz w:val="24"/>
          <w:szCs w:val="24"/>
        </w:rPr>
        <w:t>.</w:t>
      </w:r>
    </w:p>
    <w:p w:rsidR="000B44AA"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KİT’lerde bağımsız dış denetim uygulamasına geçilecektir.</w:t>
      </w:r>
    </w:p>
    <w:p w:rsidR="00814BB9" w:rsidRPr="00585E68" w:rsidRDefault="000B44AA"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lastRenderedPageBreak/>
        <w:t xml:space="preserve">KİT’ler finansal tablolarını Türkiye Muhasebe Standartlarına göre düzenleyecektir. </w:t>
      </w:r>
    </w:p>
    <w:p w:rsidR="00814BB9" w:rsidRPr="0010769B" w:rsidRDefault="00034484"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KİT’ler faaliyetlerini</w:t>
      </w:r>
      <w:r w:rsidR="00814BB9" w:rsidRPr="00FF7774">
        <w:rPr>
          <w:rFonts w:ascii="Arial" w:hAnsi="Arial" w:cs="Arial"/>
          <w:sz w:val="24"/>
          <w:szCs w:val="24"/>
        </w:rPr>
        <w:t xml:space="preserve"> stratejik planlar ve p</w:t>
      </w:r>
      <w:r w:rsidRPr="00FF7774">
        <w:rPr>
          <w:rFonts w:ascii="Arial" w:hAnsi="Arial" w:cs="Arial"/>
          <w:sz w:val="24"/>
          <w:szCs w:val="24"/>
        </w:rPr>
        <w:t>erformans programlarına uygun</w:t>
      </w:r>
      <w:r w:rsidR="00814BB9" w:rsidRPr="00D86959">
        <w:rPr>
          <w:rFonts w:ascii="Arial" w:hAnsi="Arial" w:cs="Arial"/>
          <w:sz w:val="24"/>
          <w:szCs w:val="24"/>
        </w:rPr>
        <w:t xml:space="preserve"> </w:t>
      </w:r>
      <w:r w:rsidRPr="00032574">
        <w:rPr>
          <w:rFonts w:ascii="Arial" w:hAnsi="Arial" w:cs="Arial"/>
          <w:sz w:val="24"/>
          <w:szCs w:val="24"/>
        </w:rPr>
        <w:t>olarak yürütecektir</w:t>
      </w:r>
      <w:r w:rsidR="00814BB9" w:rsidRPr="0010769B">
        <w:rPr>
          <w:rFonts w:ascii="Arial" w:hAnsi="Arial" w:cs="Arial"/>
          <w:sz w:val="24"/>
          <w:szCs w:val="24"/>
        </w:rPr>
        <w:t xml:space="preserve">. </w:t>
      </w:r>
    </w:p>
    <w:p w:rsidR="00814BB9" w:rsidRPr="0010769B" w:rsidRDefault="00034484"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Bütün </w:t>
      </w:r>
      <w:r w:rsidR="00814BB9" w:rsidRPr="0010769B">
        <w:rPr>
          <w:rFonts w:ascii="Arial" w:hAnsi="Arial" w:cs="Arial"/>
          <w:sz w:val="24"/>
          <w:szCs w:val="24"/>
        </w:rPr>
        <w:t xml:space="preserve">KİT’lerde iç denetim ve iç kontrol </w:t>
      </w:r>
      <w:r w:rsidR="00B13884" w:rsidRPr="0010769B">
        <w:rPr>
          <w:rFonts w:ascii="Arial" w:hAnsi="Arial" w:cs="Arial"/>
          <w:sz w:val="24"/>
          <w:szCs w:val="24"/>
        </w:rPr>
        <w:t>sistemi</w:t>
      </w:r>
      <w:r w:rsidR="00814BB9" w:rsidRPr="0010769B">
        <w:rPr>
          <w:rFonts w:ascii="Arial" w:hAnsi="Arial" w:cs="Arial"/>
          <w:sz w:val="24"/>
          <w:szCs w:val="24"/>
        </w:rPr>
        <w:t xml:space="preserve"> kuruluş süreci tamamlanacak ve </w:t>
      </w:r>
      <w:r w:rsidRPr="0010769B">
        <w:rPr>
          <w:rFonts w:ascii="Arial" w:hAnsi="Arial" w:cs="Arial"/>
          <w:sz w:val="24"/>
          <w:szCs w:val="24"/>
        </w:rPr>
        <w:t xml:space="preserve">iç denetim birimleri etkin hale </w:t>
      </w:r>
      <w:r w:rsidR="00814BB9" w:rsidRPr="0010769B">
        <w:rPr>
          <w:rFonts w:ascii="Arial" w:hAnsi="Arial" w:cs="Arial"/>
          <w:sz w:val="24"/>
          <w:szCs w:val="24"/>
        </w:rPr>
        <w:t>getirilecektir.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KİT’ler; sosyal amaçlı ve kamu yararına yönelik faaliyetler için mümkün olduğunca görevlendirilmeyecektir. </w:t>
      </w:r>
      <w:r w:rsidR="00B13884" w:rsidRPr="0010769B">
        <w:rPr>
          <w:rFonts w:ascii="Arial" w:hAnsi="Arial" w:cs="Arial"/>
          <w:sz w:val="24"/>
          <w:szCs w:val="24"/>
        </w:rPr>
        <w:t xml:space="preserve">Görevlendirmenin </w:t>
      </w:r>
      <w:r w:rsidRPr="0010769B">
        <w:rPr>
          <w:rFonts w:ascii="Arial" w:hAnsi="Arial" w:cs="Arial"/>
          <w:sz w:val="24"/>
          <w:szCs w:val="24"/>
        </w:rPr>
        <w:t>zorunlu olması durumunda oluşacak maliyet zamanında karşılanacaktır.</w:t>
      </w:r>
    </w:p>
    <w:p w:rsidR="00814BB9" w:rsidRPr="00585E68"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 xml:space="preserve">KİT’ler, </w:t>
      </w:r>
      <w:r w:rsidR="00B13884" w:rsidRPr="00585E68">
        <w:rPr>
          <w:rFonts w:ascii="Arial" w:hAnsi="Arial" w:cs="Arial"/>
          <w:sz w:val="24"/>
          <w:szCs w:val="24"/>
        </w:rPr>
        <w:t>teknolojik</w:t>
      </w:r>
      <w:r w:rsidRPr="00585E68">
        <w:rPr>
          <w:rFonts w:ascii="Arial" w:hAnsi="Arial" w:cs="Arial"/>
          <w:sz w:val="24"/>
          <w:szCs w:val="24"/>
        </w:rPr>
        <w:t xml:space="preserve"> altyapılarını ve Ar-Ge faaliyetlerini geliştirerek katma değeri yü</w:t>
      </w:r>
      <w:r w:rsidR="00B13884" w:rsidRPr="00585E68">
        <w:rPr>
          <w:rFonts w:ascii="Arial" w:hAnsi="Arial" w:cs="Arial"/>
          <w:sz w:val="24"/>
          <w:szCs w:val="24"/>
        </w:rPr>
        <w:t xml:space="preserve">ksek ürünlere </w:t>
      </w:r>
      <w:r w:rsidR="00480650" w:rsidRPr="00585E68">
        <w:rPr>
          <w:rFonts w:ascii="Arial" w:hAnsi="Arial" w:cs="Arial"/>
          <w:sz w:val="24"/>
          <w:szCs w:val="24"/>
        </w:rPr>
        <w:t>odaklanacak</w:t>
      </w:r>
      <w:r w:rsidR="00B13884" w:rsidRPr="00585E68">
        <w:rPr>
          <w:rFonts w:ascii="Arial" w:hAnsi="Arial" w:cs="Arial"/>
          <w:sz w:val="24"/>
          <w:szCs w:val="24"/>
        </w:rPr>
        <w:t xml:space="preserve">, yerli enerji </w:t>
      </w:r>
      <w:r w:rsidRPr="00585E68">
        <w:rPr>
          <w:rFonts w:ascii="Arial" w:hAnsi="Arial" w:cs="Arial"/>
          <w:sz w:val="24"/>
          <w:szCs w:val="24"/>
        </w:rPr>
        <w:t>kaynaklarından faydalanacak ve ihracata yönelik yeni fırsatları değerlendirecektir.</w:t>
      </w:r>
    </w:p>
    <w:p w:rsidR="00814BB9" w:rsidRPr="00032574" w:rsidRDefault="00B13884"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KİT’lerde</w:t>
      </w:r>
      <w:r w:rsidR="00814BB9" w:rsidRPr="00FF7774">
        <w:rPr>
          <w:rFonts w:ascii="Arial" w:hAnsi="Arial" w:cs="Arial"/>
          <w:sz w:val="24"/>
          <w:szCs w:val="24"/>
        </w:rPr>
        <w:t xml:space="preserve"> </w:t>
      </w:r>
      <w:r w:rsidRPr="00D86959">
        <w:rPr>
          <w:rFonts w:ascii="Arial" w:hAnsi="Arial" w:cs="Arial"/>
          <w:sz w:val="24"/>
          <w:szCs w:val="24"/>
        </w:rPr>
        <w:t>etkin bir istihdam politikası uygula</w:t>
      </w:r>
      <w:r w:rsidR="00814BB9" w:rsidRPr="00D86959">
        <w:rPr>
          <w:rFonts w:ascii="Arial" w:hAnsi="Arial" w:cs="Arial"/>
          <w:sz w:val="24"/>
          <w:szCs w:val="24"/>
        </w:rPr>
        <w:t>masına dev</w:t>
      </w:r>
      <w:r w:rsidR="00814BB9" w:rsidRPr="00032574">
        <w:rPr>
          <w:rFonts w:ascii="Arial" w:hAnsi="Arial" w:cs="Arial"/>
          <w:sz w:val="24"/>
          <w:szCs w:val="24"/>
        </w:rPr>
        <w:t>am edilecektir.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032574">
        <w:rPr>
          <w:rFonts w:ascii="Arial" w:hAnsi="Arial" w:cs="Arial"/>
          <w:sz w:val="24"/>
          <w:szCs w:val="24"/>
        </w:rPr>
        <w:t>Yurt içi ve yurt dı</w:t>
      </w:r>
      <w:r w:rsidR="00B13884" w:rsidRPr="0010769B">
        <w:rPr>
          <w:rFonts w:ascii="Arial" w:hAnsi="Arial" w:cs="Arial"/>
          <w:sz w:val="24"/>
          <w:szCs w:val="24"/>
        </w:rPr>
        <w:t>şında petrol ve doğal gaz arama</w:t>
      </w:r>
      <w:r w:rsidRPr="0010769B">
        <w:rPr>
          <w:rFonts w:ascii="Arial" w:hAnsi="Arial" w:cs="Arial"/>
          <w:sz w:val="24"/>
          <w:szCs w:val="24"/>
        </w:rPr>
        <w:t xml:space="preserve"> faaliyetleri hızlandırılacak, linyit kömürü ve jeotermal gibi yerli kaynakların arama ve üretim faaliyetleri azami seviyeye çıkar</w:t>
      </w:r>
      <w:r w:rsidR="00B13884" w:rsidRPr="0010769B">
        <w:rPr>
          <w:rFonts w:ascii="Arial" w:hAnsi="Arial" w:cs="Arial"/>
          <w:sz w:val="24"/>
          <w:szCs w:val="24"/>
        </w:rPr>
        <w:t xml:space="preserve">ılacaktır. Kaya gazı ve diğer </w:t>
      </w:r>
      <w:r w:rsidRPr="0010769B">
        <w:rPr>
          <w:rFonts w:ascii="Arial" w:hAnsi="Arial" w:cs="Arial"/>
          <w:sz w:val="24"/>
          <w:szCs w:val="24"/>
        </w:rPr>
        <w:t>yeni teknolojilere yönelik kapsamlı araştırma faaliyetleri yürütülecektir.</w:t>
      </w:r>
    </w:p>
    <w:p w:rsidR="00814BB9" w:rsidRPr="00585E68" w:rsidRDefault="005F483B"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 xml:space="preserve">TCDD’nin </w:t>
      </w:r>
      <w:r w:rsidR="00814BB9" w:rsidRPr="00585E68">
        <w:rPr>
          <w:rFonts w:ascii="Arial" w:hAnsi="Arial" w:cs="Arial"/>
          <w:sz w:val="24"/>
          <w:szCs w:val="24"/>
        </w:rPr>
        <w:t>yeniden yapılandırılması tamamlanacak, demi</w:t>
      </w:r>
      <w:r w:rsidRPr="00585E68">
        <w:rPr>
          <w:rFonts w:ascii="Arial" w:hAnsi="Arial" w:cs="Arial"/>
          <w:sz w:val="24"/>
          <w:szCs w:val="24"/>
        </w:rPr>
        <w:t>ryolu yük ve yolcu taşımacılığı</w:t>
      </w:r>
      <w:r w:rsidR="00814BB9" w:rsidRPr="00585E68">
        <w:rPr>
          <w:rFonts w:ascii="Arial" w:hAnsi="Arial" w:cs="Arial"/>
          <w:sz w:val="24"/>
          <w:szCs w:val="24"/>
        </w:rPr>
        <w:t xml:space="preserve"> özel demiryolu işletmelerine açılacaktır. </w:t>
      </w:r>
      <w:r w:rsidR="000B44AA" w:rsidRPr="00585E68">
        <w:rPr>
          <w:rFonts w:ascii="Arial" w:hAnsi="Arial" w:cs="Arial"/>
          <w:sz w:val="24"/>
          <w:szCs w:val="24"/>
        </w:rPr>
        <w:t xml:space="preserve">TCDD’nin kamu üzerindeki mali yükü sürdürülebilir bir seviyeye çekilecektir. </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TÜDEMSAŞ, TÜLOMSAŞ ve TÜVASAŞ demiryolu sektör</w:t>
      </w:r>
      <w:r w:rsidR="0046354C" w:rsidRPr="00D86959">
        <w:rPr>
          <w:rFonts w:ascii="Arial" w:hAnsi="Arial" w:cs="Arial"/>
          <w:sz w:val="24"/>
          <w:szCs w:val="24"/>
        </w:rPr>
        <w:t xml:space="preserve">ünde yapılan yasal düzenlemeler sonucu oluşan </w:t>
      </w:r>
      <w:r w:rsidRPr="00032574">
        <w:rPr>
          <w:rFonts w:ascii="Arial" w:hAnsi="Arial" w:cs="Arial"/>
          <w:sz w:val="24"/>
          <w:szCs w:val="24"/>
        </w:rPr>
        <w:t>piyas</w:t>
      </w:r>
      <w:r w:rsidR="0046354C" w:rsidRPr="00032574">
        <w:rPr>
          <w:rFonts w:ascii="Arial" w:hAnsi="Arial" w:cs="Arial"/>
          <w:sz w:val="24"/>
          <w:szCs w:val="24"/>
        </w:rPr>
        <w:t>a beklentilerini</w:t>
      </w:r>
      <w:r w:rsidRPr="0010769B">
        <w:rPr>
          <w:rFonts w:ascii="Arial" w:hAnsi="Arial" w:cs="Arial"/>
          <w:sz w:val="24"/>
          <w:szCs w:val="24"/>
        </w:rPr>
        <w:t xml:space="preserve"> de karşılayacak şekilde yeniden yapılandırılacaktır.</w:t>
      </w:r>
    </w:p>
    <w:p w:rsidR="00814BB9" w:rsidRPr="0010769B" w:rsidRDefault="0046354C"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Özelleştirme uygulamaları,</w:t>
      </w:r>
      <w:r w:rsidR="00814BB9" w:rsidRPr="0010769B">
        <w:rPr>
          <w:rFonts w:ascii="Arial" w:hAnsi="Arial" w:cs="Arial"/>
          <w:sz w:val="24"/>
          <w:szCs w:val="24"/>
        </w:rPr>
        <w:t xml:space="preserve"> makroekonomik politikalar ve uzun vadeli </w:t>
      </w:r>
      <w:proofErr w:type="spellStart"/>
      <w:r w:rsidR="00814BB9" w:rsidRPr="0010769B">
        <w:rPr>
          <w:rFonts w:ascii="Arial" w:hAnsi="Arial" w:cs="Arial"/>
          <w:sz w:val="24"/>
          <w:szCs w:val="24"/>
        </w:rPr>
        <w:t>sektörel</w:t>
      </w:r>
      <w:proofErr w:type="spellEnd"/>
      <w:r w:rsidR="00814BB9" w:rsidRPr="0010769B">
        <w:rPr>
          <w:rFonts w:ascii="Arial" w:hAnsi="Arial" w:cs="Arial"/>
          <w:sz w:val="24"/>
          <w:szCs w:val="24"/>
        </w:rPr>
        <w:t xml:space="preserve"> öncelikler çerçevesinde belirlenmiş bir programa dayalı olara</w:t>
      </w:r>
      <w:r w:rsidRPr="0010769B">
        <w:rPr>
          <w:rFonts w:ascii="Arial" w:hAnsi="Arial" w:cs="Arial"/>
          <w:sz w:val="24"/>
          <w:szCs w:val="24"/>
        </w:rPr>
        <w:t>k sürdürülecektir. Özelleştirme</w:t>
      </w:r>
      <w:r w:rsidR="00814BB9" w:rsidRPr="0010769B">
        <w:rPr>
          <w:rFonts w:ascii="Arial" w:hAnsi="Arial" w:cs="Arial"/>
          <w:sz w:val="24"/>
          <w:szCs w:val="24"/>
        </w:rPr>
        <w:t xml:space="preserve"> uygulamalarında halka arz yönteminin kullanılmasına ağırlık verilecektir.</w:t>
      </w:r>
    </w:p>
    <w:p w:rsidR="00814BB9" w:rsidRPr="00585E68" w:rsidRDefault="008E6992" w:rsidP="0010769B">
      <w:pPr>
        <w:tabs>
          <w:tab w:val="left" w:pos="567"/>
        </w:tabs>
        <w:spacing w:after="120" w:line="240" w:lineRule="auto"/>
        <w:jc w:val="both"/>
        <w:rPr>
          <w:rFonts w:ascii="Arial" w:hAnsi="Arial" w:cs="Arial"/>
          <w:b/>
          <w:sz w:val="24"/>
          <w:szCs w:val="24"/>
        </w:rPr>
      </w:pPr>
      <w:r>
        <w:rPr>
          <w:rFonts w:ascii="Arial" w:hAnsi="Arial" w:cs="Arial"/>
          <w:b/>
          <w:sz w:val="24"/>
          <w:szCs w:val="24"/>
        </w:rPr>
        <w:tab/>
      </w:r>
      <w:r w:rsidR="00814BB9" w:rsidRPr="00585E68">
        <w:rPr>
          <w:rFonts w:ascii="Arial" w:hAnsi="Arial" w:cs="Arial"/>
          <w:b/>
          <w:sz w:val="24"/>
          <w:szCs w:val="24"/>
        </w:rPr>
        <w:t xml:space="preserve">3. </w:t>
      </w:r>
      <w:r w:rsidR="002D503A" w:rsidRPr="00585E68">
        <w:rPr>
          <w:rFonts w:ascii="Arial" w:hAnsi="Arial" w:cs="Arial"/>
          <w:b/>
          <w:sz w:val="24"/>
          <w:szCs w:val="24"/>
        </w:rPr>
        <w:t>Ödemeler Dengesi</w:t>
      </w:r>
    </w:p>
    <w:p w:rsidR="00814BB9" w:rsidRPr="00032574" w:rsidRDefault="00141CBE"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Pr>
          <w:rFonts w:ascii="Arial" w:hAnsi="Arial" w:cs="Arial"/>
          <w:sz w:val="24"/>
          <w:szCs w:val="24"/>
          <w:lang w:val="tr-TR"/>
        </w:rPr>
        <w:t>İ</w:t>
      </w:r>
      <w:proofErr w:type="spellStart"/>
      <w:r w:rsidR="00814BB9" w:rsidRPr="00D86959">
        <w:rPr>
          <w:rFonts w:ascii="Arial" w:hAnsi="Arial" w:cs="Arial"/>
          <w:sz w:val="24"/>
          <w:szCs w:val="24"/>
        </w:rPr>
        <w:t>thalata</w:t>
      </w:r>
      <w:proofErr w:type="spellEnd"/>
      <w:r>
        <w:rPr>
          <w:rFonts w:ascii="Arial" w:hAnsi="Arial" w:cs="Arial"/>
          <w:sz w:val="24"/>
          <w:szCs w:val="24"/>
          <w:lang w:val="tr-TR"/>
        </w:rPr>
        <w:t xml:space="preserve"> </w:t>
      </w:r>
      <w:r w:rsidR="00814BB9" w:rsidRPr="00D86959">
        <w:rPr>
          <w:rFonts w:ascii="Arial" w:hAnsi="Arial" w:cs="Arial"/>
          <w:sz w:val="24"/>
          <w:szCs w:val="24"/>
        </w:rPr>
        <w:t>olan bağımlılığın azaltılması ve yüksek katma değerli ürünlerin ihracatının artırılması yoluyla dış t</w:t>
      </w:r>
      <w:r w:rsidR="00814BB9" w:rsidRPr="00032574">
        <w:rPr>
          <w:rFonts w:ascii="Arial" w:hAnsi="Arial" w:cs="Arial"/>
          <w:sz w:val="24"/>
          <w:szCs w:val="24"/>
        </w:rPr>
        <w:t>icaret açığının azaltılması ve finansmanının mümkün olduğunca doğrudan yatırımlar ve uzun vadeli kaynaklarla karşılanması esastır.</w:t>
      </w:r>
    </w:p>
    <w:p w:rsidR="00814BB9" w:rsidRPr="00585E68" w:rsidRDefault="00480650"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G</w:t>
      </w:r>
      <w:r w:rsidR="00814BB9" w:rsidRPr="00585E68">
        <w:rPr>
          <w:rFonts w:ascii="Arial" w:hAnsi="Arial" w:cs="Arial"/>
          <w:sz w:val="24"/>
          <w:szCs w:val="24"/>
        </w:rPr>
        <w:t>eleneksel pazarlara ihracat artırı</w:t>
      </w:r>
      <w:r w:rsidRPr="00585E68">
        <w:rPr>
          <w:rFonts w:ascii="Arial" w:hAnsi="Arial" w:cs="Arial"/>
          <w:sz w:val="24"/>
          <w:szCs w:val="24"/>
        </w:rPr>
        <w:t>lı</w:t>
      </w:r>
      <w:r w:rsidR="00814BB9" w:rsidRPr="00585E68">
        <w:rPr>
          <w:rFonts w:ascii="Arial" w:hAnsi="Arial" w:cs="Arial"/>
          <w:sz w:val="24"/>
          <w:szCs w:val="24"/>
        </w:rPr>
        <w:t xml:space="preserve">rken, ihracatta </w:t>
      </w:r>
      <w:r w:rsidR="00A1118F" w:rsidRPr="00585E68">
        <w:rPr>
          <w:rFonts w:ascii="Arial" w:hAnsi="Arial" w:cs="Arial"/>
          <w:sz w:val="24"/>
          <w:szCs w:val="24"/>
        </w:rPr>
        <w:t>hedef ve öncelikli ülkeler belirlenecek</w:t>
      </w:r>
      <w:r w:rsidR="00A1118F" w:rsidRPr="00585E68">
        <w:rPr>
          <w:rFonts w:ascii="Arial" w:hAnsi="Arial" w:cs="Arial"/>
          <w:sz w:val="24"/>
          <w:szCs w:val="24"/>
          <w:lang w:val="tr-TR"/>
        </w:rPr>
        <w:t xml:space="preserve"> ve </w:t>
      </w:r>
      <w:r w:rsidR="00814BB9" w:rsidRPr="00585E68">
        <w:rPr>
          <w:rFonts w:ascii="Arial" w:hAnsi="Arial" w:cs="Arial"/>
          <w:sz w:val="24"/>
          <w:szCs w:val="24"/>
        </w:rPr>
        <w:t xml:space="preserve">pazar çeşitlendirmesi </w:t>
      </w:r>
      <w:r w:rsidRPr="00585E68">
        <w:rPr>
          <w:rFonts w:ascii="Arial" w:hAnsi="Arial" w:cs="Arial"/>
          <w:sz w:val="24"/>
          <w:szCs w:val="24"/>
        </w:rPr>
        <w:t>sağlanacak</w:t>
      </w:r>
      <w:r w:rsidR="00A1118F" w:rsidRPr="00585E68">
        <w:rPr>
          <w:rFonts w:ascii="Arial" w:hAnsi="Arial" w:cs="Arial"/>
          <w:sz w:val="24"/>
          <w:szCs w:val="24"/>
          <w:lang w:val="tr-TR"/>
        </w:rPr>
        <w:t>tır.</w:t>
      </w:r>
      <w:r w:rsidRPr="00585E68">
        <w:rPr>
          <w:rFonts w:ascii="Arial" w:hAnsi="Arial" w:cs="Arial"/>
          <w:sz w:val="24"/>
          <w:szCs w:val="24"/>
        </w:rPr>
        <w:t xml:space="preserve"> </w:t>
      </w:r>
      <w:r w:rsidR="00814BB9" w:rsidRPr="00585E68">
        <w:rPr>
          <w:rFonts w:ascii="Arial" w:hAnsi="Arial" w:cs="Arial"/>
          <w:sz w:val="24"/>
          <w:szCs w:val="24"/>
        </w:rPr>
        <w:t xml:space="preserve"> Bu kapsamda, pazara giriş imkânlarını kolaylaştırmaya yönelik çalışmalar yapılacaktır.</w:t>
      </w:r>
    </w:p>
    <w:p w:rsidR="00814BB9" w:rsidRPr="00D86959"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 xml:space="preserve">İthalata bağımlılığı ve teknoloji yoğunluğu yüksek olan sanayi girdilerinin </w:t>
      </w:r>
      <w:r w:rsidR="00954A03" w:rsidRPr="00FF7774">
        <w:rPr>
          <w:rFonts w:ascii="Arial" w:hAnsi="Arial" w:cs="Arial"/>
          <w:sz w:val="24"/>
          <w:szCs w:val="24"/>
        </w:rPr>
        <w:t>yurt içi</w:t>
      </w:r>
      <w:r w:rsidRPr="00D86959">
        <w:rPr>
          <w:rFonts w:ascii="Arial" w:hAnsi="Arial" w:cs="Arial"/>
          <w:sz w:val="24"/>
          <w:szCs w:val="24"/>
        </w:rPr>
        <w:t xml:space="preserve">nde üretilmesini sağlayacak yatırımlar desteklenecektir. </w:t>
      </w:r>
    </w:p>
    <w:p w:rsidR="00814BB9" w:rsidRPr="00032574"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032574">
        <w:rPr>
          <w:rFonts w:ascii="Arial" w:hAnsi="Arial" w:cs="Arial"/>
          <w:sz w:val="24"/>
          <w:szCs w:val="24"/>
        </w:rPr>
        <w:t xml:space="preserve">Kamu alımlarında yurt içinde üretilen ve yerli girdi kullanan ürünler tercih edilecektir. </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032574">
        <w:rPr>
          <w:rFonts w:ascii="Arial" w:hAnsi="Arial" w:cs="Arial"/>
          <w:sz w:val="24"/>
          <w:szCs w:val="24"/>
        </w:rPr>
        <w:t>Maden, enerji hammaddeleri, yenilenebilir enerji ve nükleer enerji yatırımları için ayrılan kaynakl</w:t>
      </w:r>
      <w:r w:rsidRPr="0010769B">
        <w:rPr>
          <w:rFonts w:ascii="Arial" w:hAnsi="Arial" w:cs="Arial"/>
          <w:sz w:val="24"/>
          <w:szCs w:val="24"/>
        </w:rPr>
        <w:t>ar önemli oranda artırılarak enerjide dışa bağımlılık azaltılacaktır.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İthal ürünler yerine yurt içinde üretilen malların daha fazla tercih edilmesi için tüketicilerin bilgi ve farkındalık düzeyi artırılacaktır. </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lastRenderedPageBreak/>
        <w:t xml:space="preserve">Piyasaların ve rekabet ortamının iyi işlemesi, fikri mülkiyet haklarının korunması, iş ve yatırım ortamının cazip ve öngörülebilir hale gelmesi desteklenerek yerli ve uluslararası doğrudan yatırımların artırılması sağlanacaktır. </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Girdi Tedarik Stratejisi kapsamında; ihracata dönük üretimde daha etkin ve düşük maliyetli girdi tedarikine, üretim ve ihracatın ara malı ithalatına bağımlılığının azaltılmasına ve bu suretle ihracatta sürdürülebilir rekabet gücüne katkı sağlanmasına yönelik eylemler hayata geçirilecektir.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İhracata yönelik üretimin yanı sıra stratejik sektörlerde yerinde üretimle rekabet şartlarına uyum gösterilmesi ve ülkemizde üretimi mümkün olmayan stratejik hammadde ve girdilerin yurt dışında yatırım yapılması suretiyle uygun maliyetlerle tedarik edilmesi sağlanacaktır.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Yurt içinde üretilen ara malların standardının, kalitesinin ve teknoloji seviyesinin yükseltilmesi desteklenecektir.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Tüketime yönelik ihraç ürünlerinde özgün tasarım faaliyetleri özendirilecek, nitelikli tasarımcı yetiştirilmesi sağlanacak, patent tescili ve uluslararası marka oluşturulması desteklenecek, tanıtım ve pazarlama konusundaki destekler ihracatçıların ihtiyaçları doğrultusunda geliştirilecektir.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Dış talebe uygun nitelik ve nicelikteki ürünlerin ihracatı amacıyla üretim aşamasını dikkate alan destek programları uygulanacaktır. </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İhracat desteklerinde etkililik esas alınarak, gelişme potansiyeli olan sektörler öncelikli biçimde desteklenecektir. </w:t>
      </w:r>
    </w:p>
    <w:p w:rsidR="00814BB9" w:rsidRPr="00D86959"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Başta makine ve otomotiv olmak üzere, demir-çelik, tekstil, hazır giyim ve konfeksiyon, elektrik ve elektronik ile kimyevi maddeler ihracat stratejimizin lokomotif sektörleri olmaya devam edecektir. Bununla birlikte, yeni rafineri inşası, elektrikli otomobil imalatı, ileri teknoloji içeren hava taşıtı motorları ve </w:t>
      </w:r>
      <w:r w:rsidR="000B53CD" w:rsidRPr="0010769B">
        <w:rPr>
          <w:rFonts w:ascii="Arial" w:hAnsi="Arial" w:cs="Arial"/>
          <w:sz w:val="24"/>
          <w:szCs w:val="24"/>
        </w:rPr>
        <w:t xml:space="preserve">bunların </w:t>
      </w:r>
      <w:r w:rsidRPr="0010769B">
        <w:rPr>
          <w:rFonts w:ascii="Arial" w:hAnsi="Arial" w:cs="Arial"/>
          <w:sz w:val="24"/>
          <w:szCs w:val="24"/>
        </w:rPr>
        <w:t>parçalarının üretimi</w:t>
      </w:r>
      <w:r w:rsidR="00B278BF" w:rsidRPr="0010769B">
        <w:rPr>
          <w:rFonts w:ascii="Arial" w:hAnsi="Arial" w:cs="Arial"/>
          <w:sz w:val="24"/>
          <w:szCs w:val="24"/>
        </w:rPr>
        <w:t>, ilaç ve tıbbi cihaz üretimi</w:t>
      </w:r>
      <w:r w:rsidRPr="0010769B">
        <w:rPr>
          <w:rFonts w:ascii="Arial" w:hAnsi="Arial" w:cs="Arial"/>
          <w:sz w:val="24"/>
          <w:szCs w:val="24"/>
        </w:rPr>
        <w:t xml:space="preserve"> konularında </w:t>
      </w:r>
      <w:r w:rsidR="00B278BF" w:rsidRPr="0010769B">
        <w:rPr>
          <w:rFonts w:ascii="Arial" w:hAnsi="Arial" w:cs="Arial"/>
          <w:sz w:val="24"/>
          <w:szCs w:val="24"/>
        </w:rPr>
        <w:t xml:space="preserve">Ar-Ge ve yatırım </w:t>
      </w:r>
      <w:r w:rsidRPr="00FF7774">
        <w:rPr>
          <w:rFonts w:ascii="Arial" w:hAnsi="Arial" w:cs="Arial"/>
          <w:sz w:val="24"/>
          <w:szCs w:val="24"/>
        </w:rPr>
        <w:t xml:space="preserve">teşvik sistemi güçlendirilerek </w:t>
      </w:r>
      <w:r w:rsidR="00954A03" w:rsidRPr="00FF7774">
        <w:rPr>
          <w:rFonts w:ascii="Arial" w:hAnsi="Arial" w:cs="Arial"/>
          <w:sz w:val="24"/>
          <w:szCs w:val="24"/>
        </w:rPr>
        <w:t>yurt içi</w:t>
      </w:r>
      <w:r w:rsidRPr="00FF7774">
        <w:rPr>
          <w:rFonts w:ascii="Arial" w:hAnsi="Arial" w:cs="Arial"/>
          <w:sz w:val="24"/>
          <w:szCs w:val="24"/>
        </w:rPr>
        <w:t xml:space="preserve"> üretim kapasitesi artırılacaktır. </w:t>
      </w:r>
    </w:p>
    <w:p w:rsidR="00814BB9" w:rsidRPr="00032574"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032574">
        <w:rPr>
          <w:rFonts w:ascii="Arial" w:hAnsi="Arial" w:cs="Arial"/>
          <w:sz w:val="24"/>
          <w:szCs w:val="24"/>
        </w:rPr>
        <w:t xml:space="preserve">Gümrük Birliği daha etkin hale getirilerek AB ülkelerindeki pazar payımızın artırılmasına, AB ile ticaret ve yatırım ilişkilerimizin güçlendirilmesine önem verilecektir.    </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Başta Avrupa Birliği ve ABD arasında görüşmeleri devam eden Transatlantik Ticaret ve Yatırım Ortaklığı anlaşması olmak üzere ülkemizi doğrudan etkileyecek serbest ticaret anlaşmalarının dış ticaretimizi olumlu yönde etkilemesi yönünde çalışmalara hız verilecektir.  </w:t>
      </w:r>
    </w:p>
    <w:p w:rsidR="00B15E57" w:rsidRDefault="00B15E57"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lang w:val="tr-TR"/>
        </w:rPr>
        <w:t xml:space="preserve">Hizmetler ve yatırımları da içeren </w:t>
      </w:r>
      <w:r>
        <w:rPr>
          <w:rFonts w:ascii="Arial" w:hAnsi="Arial" w:cs="Arial"/>
          <w:sz w:val="24"/>
          <w:szCs w:val="24"/>
          <w:lang w:val="tr-TR"/>
        </w:rPr>
        <w:t>s</w:t>
      </w:r>
      <w:proofErr w:type="spellStart"/>
      <w:r w:rsidR="00814BB9" w:rsidRPr="0010769B">
        <w:rPr>
          <w:rFonts w:ascii="Arial" w:hAnsi="Arial" w:cs="Arial"/>
          <w:sz w:val="24"/>
          <w:szCs w:val="24"/>
        </w:rPr>
        <w:t>erbest</w:t>
      </w:r>
      <w:proofErr w:type="spellEnd"/>
      <w:r w:rsidR="00814BB9" w:rsidRPr="0010769B">
        <w:rPr>
          <w:rFonts w:ascii="Arial" w:hAnsi="Arial" w:cs="Arial"/>
          <w:sz w:val="24"/>
          <w:szCs w:val="24"/>
        </w:rPr>
        <w:t xml:space="preserve"> ticaret anlaşmalarına ağırlık verilecektir. </w:t>
      </w:r>
    </w:p>
    <w:p w:rsidR="00814BB9"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Dâhilde işleme rejimi uygulamaları yurt içi üretim koşulları ve dış ticaret dengesi açısından yeniden değerlendirilecektir. </w:t>
      </w:r>
    </w:p>
    <w:p w:rsidR="00B15E57" w:rsidRPr="0010769B" w:rsidRDefault="00B15E57"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Serbest bölgelerin faaliyetlerine; doğrudan yabancı yatırımı ve teknoloji girişini hızlandıracak ve</w:t>
      </w:r>
      <w:r w:rsidRPr="00585E68">
        <w:rPr>
          <w:rFonts w:ascii="Arial" w:hAnsi="Arial" w:cs="Arial"/>
          <w:sz w:val="24"/>
          <w:szCs w:val="24"/>
          <w:lang w:val="tr-TR"/>
        </w:rPr>
        <w:t xml:space="preserve"> </w:t>
      </w:r>
      <w:r w:rsidRPr="00585E68">
        <w:rPr>
          <w:rFonts w:ascii="Arial" w:hAnsi="Arial" w:cs="Arial"/>
          <w:sz w:val="24"/>
          <w:szCs w:val="24"/>
        </w:rPr>
        <w:t>firmaları ihracata yönlendirecek şekilde yön verilecektir.</w:t>
      </w:r>
    </w:p>
    <w:p w:rsidR="00814BB9"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Gümrük işlemlerinde ihracatçıların maliyetini azaltıcı tedbirler alınacaktır. </w:t>
      </w:r>
    </w:p>
    <w:p w:rsidR="00B15E57" w:rsidRPr="00FF7774" w:rsidRDefault="00B15E57"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İhracat hedeflerine ulaşılmasına katkı sağlamak amacıyla büyük ölçekli liman kapasitesi oluşturulacak, limanların demiryolu ve karayolu bağlantıları tamamlanacaktır.</w:t>
      </w:r>
    </w:p>
    <w:p w:rsidR="00B15E57" w:rsidRPr="0010769B" w:rsidRDefault="00B15E57"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lastRenderedPageBreak/>
        <w:t xml:space="preserve">Önemli üretim ve tüketim bölgelerinde bölgesel ve küresel ihtiyaçlara cevap verebilecek, ülkemizin ana ihracat sektörlerinin rekabet gücünü destekleyecek lojistik merkezler oluşturulacaktır. </w:t>
      </w:r>
    </w:p>
    <w:p w:rsidR="00756411" w:rsidRDefault="00756411"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e-Ticaretin, ihracat artışına katkı yapması ve tüketim malı ithalatını artırmaması için gerekli mekanizmalar geliştirilecektir.</w:t>
      </w:r>
    </w:p>
    <w:p w:rsidR="00B15E57" w:rsidRPr="0010769B" w:rsidRDefault="00B15E57"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7957B4">
        <w:rPr>
          <w:rFonts w:ascii="Arial" w:hAnsi="Arial" w:cs="Arial"/>
          <w:sz w:val="24"/>
          <w:szCs w:val="24"/>
        </w:rPr>
        <w:t>İthalatta piyasa gözetimi ve denetim sisteminin etkinliği artırılarak ithal ürünlerin teknik düzenlemelere uygun ve güvenli olmaları sağlanacaktır.</w:t>
      </w:r>
    </w:p>
    <w:p w:rsidR="00814BB9" w:rsidRPr="00585E68"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bookmarkStart w:id="1" w:name="OLE_LINK2"/>
      <w:bookmarkStart w:id="2" w:name="OLE_LINK1"/>
      <w:r w:rsidRPr="00585E68">
        <w:rPr>
          <w:rFonts w:ascii="Arial" w:hAnsi="Arial" w:cs="Arial"/>
          <w:sz w:val="24"/>
          <w:szCs w:val="24"/>
        </w:rPr>
        <w:t>Turizm sektöründe hizmet kalitesini artıran, pazarlama kanallarını çeşitlendirerek üst gelir gruplarını hedef alan, koruma-kullanma dengesini gözeten, karşılaştırmalı rekabet üstünlüğüne uygun turizm çeşitlerini öne çıkaran bir yapı oluşturulacaktır.</w:t>
      </w:r>
    </w:p>
    <w:p w:rsidR="00814BB9" w:rsidRPr="00D86959"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Turizm yatırımlarının gelişmiş ve yoğun kullanıma konu olan yörelerden diğer alanlara kaydırılarak çeşitlendirilmesine ve turizm faaliyetlerinin tüm yıla yayılmasına dönük politikalar uygulanacaktır.</w:t>
      </w:r>
    </w:p>
    <w:p w:rsidR="00536F2F" w:rsidRPr="00585E68" w:rsidRDefault="00536F2F"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Türkiye’nin dünyada yükselen pazar konumunda olduğu sağlık turizmi alanında</w:t>
      </w:r>
      <w:r w:rsidR="00E26E1C" w:rsidRPr="00585E68">
        <w:rPr>
          <w:rFonts w:ascii="Arial" w:hAnsi="Arial" w:cs="Arial"/>
          <w:sz w:val="24"/>
          <w:szCs w:val="24"/>
        </w:rPr>
        <w:t>ki</w:t>
      </w:r>
      <w:r w:rsidRPr="00585E68">
        <w:rPr>
          <w:rFonts w:ascii="Arial" w:hAnsi="Arial" w:cs="Arial"/>
          <w:sz w:val="24"/>
          <w:szCs w:val="24"/>
        </w:rPr>
        <w:t xml:space="preserve"> altyapı</w:t>
      </w:r>
      <w:r w:rsidR="00E26E1C" w:rsidRPr="00585E68">
        <w:rPr>
          <w:rFonts w:ascii="Arial" w:hAnsi="Arial" w:cs="Arial"/>
          <w:sz w:val="24"/>
          <w:szCs w:val="24"/>
        </w:rPr>
        <w:t>sı</w:t>
      </w:r>
      <w:r w:rsidRPr="00585E68">
        <w:rPr>
          <w:rFonts w:ascii="Arial" w:hAnsi="Arial" w:cs="Arial"/>
          <w:sz w:val="24"/>
          <w:szCs w:val="24"/>
        </w:rPr>
        <w:t xml:space="preserve"> geliştirilerek hizmet kalitesi ve rekabet gücü artırılacaktır. Bu alanda hedef pazarlarda etkin bir tanıtım ve pazarlama stratejisi yürütülecektir. </w:t>
      </w:r>
    </w:p>
    <w:p w:rsidR="00814BB9"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 xml:space="preserve">Yurt dışı müteahhitlik hizmetlerinde kaliteyi artıran ve yapı malzemelerinin ihracat potansiyelini yükselten faaliyetler desteklenecek, yurt dışında yüksek nitelikli ve bilgi yoğun projelere ağırlık verilmesiyle yurt dışı müteahhitlik hizmet gelirlerinin artırılması sağlanacaktır. </w:t>
      </w:r>
    </w:p>
    <w:p w:rsidR="00FC352F" w:rsidRDefault="00FC352F"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Yurt</w:t>
      </w:r>
      <w:r w:rsidR="006B1314" w:rsidRPr="00FF7774">
        <w:rPr>
          <w:rFonts w:ascii="Arial" w:hAnsi="Arial" w:cs="Arial"/>
          <w:sz w:val="24"/>
          <w:szCs w:val="24"/>
        </w:rPr>
        <w:t xml:space="preserve"> </w:t>
      </w:r>
      <w:r w:rsidRPr="00585E68">
        <w:rPr>
          <w:rFonts w:ascii="Arial" w:hAnsi="Arial" w:cs="Arial"/>
          <w:sz w:val="24"/>
          <w:szCs w:val="24"/>
        </w:rPr>
        <w:t>dışı teknik danışmanlık ve teknik servis hizmet ihracatına yönelik destek verilecektir.</w:t>
      </w:r>
    </w:p>
    <w:p w:rsidR="00BA1E93" w:rsidRPr="0010769B" w:rsidRDefault="00BA1E93"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585E68">
        <w:rPr>
          <w:rFonts w:ascii="Arial" w:hAnsi="Arial" w:cs="Arial"/>
          <w:sz w:val="24"/>
          <w:szCs w:val="24"/>
        </w:rPr>
        <w:t>Ülkemiz yatırımcılarının yurt dışında haklarının teminat altına alınması ve korunması sağlanacaktır.</w:t>
      </w:r>
    </w:p>
    <w:p w:rsidR="00814BB9"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Yurt dışında mağazalaşma faaliyetleri ve bu mağazalarda kaliteli, yüksek katma değerli ürün satışı desteklenecektir.</w:t>
      </w:r>
    </w:p>
    <w:p w:rsidR="00B15E57" w:rsidRPr="0010769B" w:rsidRDefault="00B15E57"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7957B4">
        <w:rPr>
          <w:rFonts w:ascii="Arial" w:hAnsi="Arial" w:cs="Arial"/>
          <w:sz w:val="24"/>
          <w:szCs w:val="24"/>
        </w:rPr>
        <w:t>Ülkemizin ikili ve çok taraflı işbirlikleri kapsamında, ihracatın artırılmasına katkı sağlamak amacıyla küresel ölçekte ve bölgesinde etkinliği güçlendirilecek, ihtiyaç duyan ülkelere teknik destek sağlanacaktır.</w:t>
      </w:r>
    </w:p>
    <w:bookmarkEnd w:id="1"/>
    <w:bookmarkEnd w:id="2"/>
    <w:p w:rsidR="00814BB9" w:rsidRPr="00585E68" w:rsidRDefault="008E6992" w:rsidP="0010769B">
      <w:pPr>
        <w:tabs>
          <w:tab w:val="left" w:pos="567"/>
        </w:tabs>
        <w:spacing w:after="120" w:line="240" w:lineRule="auto"/>
        <w:jc w:val="both"/>
        <w:rPr>
          <w:rFonts w:ascii="Arial" w:hAnsi="Arial" w:cs="Arial"/>
          <w:b/>
          <w:sz w:val="24"/>
          <w:szCs w:val="24"/>
        </w:rPr>
      </w:pPr>
      <w:r>
        <w:rPr>
          <w:rFonts w:ascii="Arial" w:hAnsi="Arial" w:cs="Arial"/>
          <w:b/>
          <w:sz w:val="24"/>
          <w:szCs w:val="24"/>
        </w:rPr>
        <w:tab/>
      </w:r>
      <w:r w:rsidR="00814BB9" w:rsidRPr="00585E68">
        <w:rPr>
          <w:rFonts w:ascii="Arial" w:hAnsi="Arial" w:cs="Arial"/>
          <w:b/>
          <w:sz w:val="24"/>
          <w:szCs w:val="24"/>
        </w:rPr>
        <w:t xml:space="preserve">4. </w:t>
      </w:r>
      <w:r w:rsidR="002D503A" w:rsidRPr="00585E68">
        <w:rPr>
          <w:rFonts w:ascii="Arial" w:hAnsi="Arial" w:cs="Arial"/>
          <w:b/>
          <w:sz w:val="24"/>
          <w:szCs w:val="24"/>
        </w:rPr>
        <w:t>Para Politikası</w:t>
      </w:r>
    </w:p>
    <w:p w:rsidR="00814BB9" w:rsidRPr="00FF7774"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 xml:space="preserve">Para politikasının temel amacı fiyat istikrarını sağlamak ve sürdürmektir.  </w:t>
      </w:r>
    </w:p>
    <w:p w:rsidR="00814BB9" w:rsidRPr="00032574"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D86959">
        <w:rPr>
          <w:rFonts w:ascii="Arial" w:hAnsi="Arial" w:cs="Arial"/>
          <w:sz w:val="24"/>
          <w:szCs w:val="24"/>
        </w:rPr>
        <w:t xml:space="preserve">Para politikası, enflasyon </w:t>
      </w:r>
      <w:r w:rsidRPr="00032574">
        <w:rPr>
          <w:rFonts w:ascii="Arial" w:hAnsi="Arial" w:cs="Arial"/>
          <w:sz w:val="24"/>
          <w:szCs w:val="24"/>
        </w:rPr>
        <w:t>hedeflemesi çerçevesinde yürütülecektir. Enflasyon hedeflemesi rejiminde finansal istikrar da gözetilmeye devam edilecektir.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Temel para politikası aracı olarak kısa vadeli faiz oranları kullanılmasının yanı sıra zorunlu karşılık oranları ve faiz koridoru gibi birbirini tamamlayıcı nitelikteki araçlar ile Türk Lirası ve döviz cinsi likidite uygulamaları birlikte kullanılmaya devam edilecektir.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Enflasyon hedefleri, Hükümet ve Merkez Bankası tarafından üç yıllık vadede belirlenmeye devam edilecektir.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Para politikasının hesap verebilirliğini ve şeffaflığını temin etmek amacıyla, enflasyon gerçekleşmeleri, enflasyonu etkileyen unsurlar ve enflasyonun hedefle uyumlu seyretmesi için uygulanacak para politikası üçer aylık dönemlerde Enflasyon Raporu aracılığıyla kamuoyuna açıklanacaktır. Gerçekleşen enflasyonun yıl sonunda </w:t>
      </w:r>
      <w:r w:rsidRPr="0010769B">
        <w:rPr>
          <w:rFonts w:ascii="Arial" w:hAnsi="Arial" w:cs="Arial"/>
          <w:sz w:val="24"/>
          <w:szCs w:val="24"/>
        </w:rPr>
        <w:lastRenderedPageBreak/>
        <w:t>belirsizlik aralığının dışınd</w:t>
      </w:r>
      <w:r w:rsidR="000F05AB" w:rsidRPr="0010769B">
        <w:rPr>
          <w:rFonts w:ascii="Arial" w:hAnsi="Arial" w:cs="Arial"/>
          <w:sz w:val="24"/>
          <w:szCs w:val="24"/>
        </w:rPr>
        <w:t>a kalması durumunda ise Hükümet</w:t>
      </w:r>
      <w:r w:rsidRPr="0010769B">
        <w:rPr>
          <w:rFonts w:ascii="Arial" w:hAnsi="Arial" w:cs="Arial"/>
          <w:sz w:val="24"/>
          <w:szCs w:val="24"/>
        </w:rPr>
        <w:t>e açık mektup yazılacaktır.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Esnek ve etkin likidite yönetimine imkân veren para politikasının </w:t>
      </w:r>
      <w:proofErr w:type="spellStart"/>
      <w:r w:rsidRPr="0010769B">
        <w:rPr>
          <w:rFonts w:ascii="Arial" w:hAnsi="Arial" w:cs="Arial"/>
          <w:sz w:val="24"/>
          <w:szCs w:val="24"/>
        </w:rPr>
        <w:t>operasyonel</w:t>
      </w:r>
      <w:proofErr w:type="spellEnd"/>
      <w:r w:rsidRPr="0010769B">
        <w:rPr>
          <w:rFonts w:ascii="Arial" w:hAnsi="Arial" w:cs="Arial"/>
          <w:sz w:val="24"/>
          <w:szCs w:val="24"/>
        </w:rPr>
        <w:t xml:space="preserve"> çerçevesi önümüzdeki dönemde de sürdürülecektir.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Dalgalı döviz kuru rejimi uygulamasına devam edilecektir.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Piyasa derinliğinin kaybolmasına bağlı olarak döviz kurlarında sağlıksız fiyat oluşumlarının gözlenmesi veya aşırı oynaklık durumunda döviz satım ihaleleri yapılabileceği gibi spekülatif davranışlar gözlenmesi durumunda piyasaya doğrudan müdahale edilebilecektir.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Piyasa koşullarının elverdiği dönemlerde, rezerv biriktirme amaçlı döviz alım ihaleleri önceden ilan edilen program dâhilinde </w:t>
      </w:r>
      <w:r w:rsidR="009F4D76" w:rsidRPr="0010769B">
        <w:rPr>
          <w:rFonts w:ascii="Arial" w:hAnsi="Arial" w:cs="Arial"/>
          <w:sz w:val="24"/>
          <w:szCs w:val="24"/>
        </w:rPr>
        <w:t>sürdü</w:t>
      </w:r>
      <w:r w:rsidR="003C2C6C" w:rsidRPr="0010769B">
        <w:rPr>
          <w:rFonts w:ascii="Arial" w:hAnsi="Arial" w:cs="Arial"/>
          <w:sz w:val="24"/>
          <w:szCs w:val="24"/>
        </w:rPr>
        <w:t>rü</w:t>
      </w:r>
      <w:r w:rsidR="009F4D76" w:rsidRPr="0010769B">
        <w:rPr>
          <w:rFonts w:ascii="Arial" w:hAnsi="Arial" w:cs="Arial"/>
          <w:sz w:val="24"/>
          <w:szCs w:val="24"/>
        </w:rPr>
        <w:t>le</w:t>
      </w:r>
      <w:r w:rsidRPr="0010769B">
        <w:rPr>
          <w:rFonts w:ascii="Arial" w:hAnsi="Arial" w:cs="Arial"/>
          <w:sz w:val="24"/>
          <w:szCs w:val="24"/>
        </w:rPr>
        <w:t xml:space="preserve">cektir. Ayrıca, ihracat </w:t>
      </w:r>
      <w:r w:rsidR="009F4D76" w:rsidRPr="0010769B">
        <w:rPr>
          <w:rFonts w:ascii="Arial" w:hAnsi="Arial" w:cs="Arial"/>
          <w:sz w:val="24"/>
          <w:szCs w:val="24"/>
        </w:rPr>
        <w:t>reeskont kredileri aracılığıyla</w:t>
      </w:r>
      <w:r w:rsidRPr="0010769B">
        <w:rPr>
          <w:rFonts w:ascii="Arial" w:hAnsi="Arial" w:cs="Arial"/>
          <w:sz w:val="24"/>
          <w:szCs w:val="24"/>
        </w:rPr>
        <w:t xml:space="preserve"> d</w:t>
      </w:r>
      <w:r w:rsidR="009F4D76" w:rsidRPr="0010769B">
        <w:rPr>
          <w:rFonts w:ascii="Arial" w:hAnsi="Arial" w:cs="Arial"/>
          <w:sz w:val="24"/>
          <w:szCs w:val="24"/>
        </w:rPr>
        <w:t>a</w:t>
      </w:r>
      <w:r w:rsidRPr="0010769B">
        <w:rPr>
          <w:rFonts w:ascii="Arial" w:hAnsi="Arial" w:cs="Arial"/>
          <w:sz w:val="24"/>
          <w:szCs w:val="24"/>
        </w:rPr>
        <w:t xml:space="preserve"> rezerv biriktirilmeye devam edilecektir.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Rezerv opsiyon mekanizması sermaye akımlarındaki oynaklıklara karşı dengeleyici olarak kullanılmaya devam edilecektir. </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Para politikasında alınan kararlara ve uygulamasında kullanılan araçlara ilişkin iletişim kanalları güçlendirilecektir. </w:t>
      </w:r>
    </w:p>
    <w:p w:rsidR="00814BB9" w:rsidRPr="00585E68" w:rsidRDefault="008E6992" w:rsidP="0010769B">
      <w:pPr>
        <w:tabs>
          <w:tab w:val="left" w:pos="567"/>
        </w:tabs>
        <w:spacing w:after="120" w:line="240" w:lineRule="auto"/>
        <w:jc w:val="both"/>
        <w:rPr>
          <w:rFonts w:ascii="Arial" w:hAnsi="Arial" w:cs="Arial"/>
          <w:b/>
          <w:sz w:val="24"/>
          <w:szCs w:val="24"/>
        </w:rPr>
      </w:pPr>
      <w:r>
        <w:rPr>
          <w:rFonts w:ascii="Arial" w:hAnsi="Arial" w:cs="Arial"/>
          <w:b/>
          <w:sz w:val="24"/>
          <w:szCs w:val="24"/>
        </w:rPr>
        <w:tab/>
      </w:r>
      <w:r w:rsidR="00814BB9" w:rsidRPr="00585E68">
        <w:rPr>
          <w:rFonts w:ascii="Arial" w:hAnsi="Arial" w:cs="Arial"/>
          <w:b/>
          <w:sz w:val="24"/>
          <w:szCs w:val="24"/>
        </w:rPr>
        <w:t xml:space="preserve">5. </w:t>
      </w:r>
      <w:r w:rsidR="002D503A" w:rsidRPr="00585E68">
        <w:rPr>
          <w:rFonts w:ascii="Arial" w:hAnsi="Arial" w:cs="Arial"/>
          <w:b/>
          <w:sz w:val="24"/>
          <w:szCs w:val="24"/>
        </w:rPr>
        <w:t>Mali Piyasalar</w:t>
      </w:r>
    </w:p>
    <w:p w:rsidR="00814BB9" w:rsidRPr="00032574"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 xml:space="preserve">Mali piyasaların reel sektörün finansman ihtiyacını karşılayan, </w:t>
      </w:r>
      <w:r w:rsidR="00954A03" w:rsidRPr="00FF7774">
        <w:rPr>
          <w:rFonts w:ascii="Arial" w:hAnsi="Arial" w:cs="Arial"/>
          <w:sz w:val="24"/>
          <w:szCs w:val="24"/>
        </w:rPr>
        <w:t>yurt içi</w:t>
      </w:r>
      <w:r w:rsidRPr="00D86959">
        <w:rPr>
          <w:rFonts w:ascii="Arial" w:hAnsi="Arial" w:cs="Arial"/>
          <w:sz w:val="24"/>
          <w:szCs w:val="24"/>
        </w:rPr>
        <w:t xml:space="preserve"> tasarrufların artmasına katkı sağlayan, finansal ürün çeşitliliğine sahip, etkin ve şeffaf işleyen bir yapıya k</w:t>
      </w:r>
      <w:r w:rsidRPr="00032574">
        <w:rPr>
          <w:rFonts w:ascii="Arial" w:hAnsi="Arial" w:cs="Arial"/>
          <w:sz w:val="24"/>
          <w:szCs w:val="24"/>
        </w:rPr>
        <w:t xml:space="preserve">avuşturulması öncelikli hedeftir. </w:t>
      </w:r>
    </w:p>
    <w:p w:rsidR="00B63411" w:rsidRPr="0010769B" w:rsidRDefault="00B63411"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032574">
        <w:rPr>
          <w:rFonts w:ascii="Arial" w:hAnsi="Arial" w:cs="Arial"/>
          <w:sz w:val="24"/>
          <w:szCs w:val="24"/>
        </w:rPr>
        <w:t>İFM Önce</w:t>
      </w:r>
      <w:r w:rsidRPr="0010769B">
        <w:rPr>
          <w:rFonts w:ascii="Arial" w:hAnsi="Arial" w:cs="Arial"/>
          <w:sz w:val="24"/>
          <w:szCs w:val="24"/>
        </w:rPr>
        <w:t xml:space="preserve">likli Dönüşüm Programıyla İstanbul’un uluslararası bir finans merkezi olmasına yönelik çalışmalara yeni bir ivme kazandırılacaktır. </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Bankacılık sektörünün düzenleme ve denetimi ülke ihtiyaçları dikkate alınarak uluslararası standartlar çerçevesinde geliştirilecektir. </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Finansal istikrarı korumak ve ekonomideki devresel hareketlerin etkisini azaltmak amacıyla gerekmesi halinde makro ihtiyati düzenlemeler yapılacaktır. </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Faizsiz finans sektöründeki ürün ve hizmet çeşitliliği ile bu alanda faaliyet gösteren kuruluş sayısı artırılacak; sektörün kurumsal ve hukuki altyapısının güçlendirilmesine yönelik çalışmalar yürütülecektir. </w:t>
      </w:r>
      <w:r w:rsidR="00A06149">
        <w:rPr>
          <w:rFonts w:ascii="Arial" w:hAnsi="Arial" w:cs="Arial"/>
          <w:sz w:val="24"/>
          <w:szCs w:val="24"/>
          <w:lang w:val="tr-TR"/>
        </w:rPr>
        <w:t>F</w:t>
      </w:r>
      <w:proofErr w:type="spellStart"/>
      <w:r w:rsidRPr="0010769B">
        <w:rPr>
          <w:rFonts w:ascii="Arial" w:hAnsi="Arial" w:cs="Arial"/>
          <w:sz w:val="24"/>
          <w:szCs w:val="24"/>
        </w:rPr>
        <w:t>aizsiz</w:t>
      </w:r>
      <w:proofErr w:type="spellEnd"/>
      <w:r w:rsidRPr="0010769B">
        <w:rPr>
          <w:rFonts w:ascii="Arial" w:hAnsi="Arial" w:cs="Arial"/>
          <w:sz w:val="24"/>
          <w:szCs w:val="24"/>
        </w:rPr>
        <w:t xml:space="preserve"> finans ürünlerinin kullanımı yaygınlaştırıl</w:t>
      </w:r>
      <w:r w:rsidR="00A06149">
        <w:rPr>
          <w:rFonts w:ascii="Arial" w:hAnsi="Arial" w:cs="Arial"/>
          <w:sz w:val="24"/>
          <w:szCs w:val="24"/>
          <w:lang w:val="tr-TR"/>
        </w:rPr>
        <w:t>a</w:t>
      </w:r>
      <w:proofErr w:type="spellStart"/>
      <w:r w:rsidRPr="0010769B">
        <w:rPr>
          <w:rFonts w:ascii="Arial" w:hAnsi="Arial" w:cs="Arial"/>
          <w:sz w:val="24"/>
          <w:szCs w:val="24"/>
        </w:rPr>
        <w:t>caktır</w:t>
      </w:r>
      <w:proofErr w:type="spellEnd"/>
      <w:r w:rsidRPr="0010769B">
        <w:rPr>
          <w:rFonts w:ascii="Arial" w:hAnsi="Arial" w:cs="Arial"/>
          <w:sz w:val="24"/>
          <w:szCs w:val="24"/>
        </w:rPr>
        <w:t>.</w:t>
      </w:r>
      <w:r w:rsidR="00A06149">
        <w:rPr>
          <w:rFonts w:ascii="Arial" w:hAnsi="Arial" w:cs="Arial"/>
          <w:sz w:val="24"/>
          <w:szCs w:val="24"/>
          <w:lang w:val="tr-TR"/>
        </w:rPr>
        <w:t xml:space="preserve"> </w:t>
      </w:r>
    </w:p>
    <w:p w:rsidR="005B610E" w:rsidRPr="0010769B" w:rsidRDefault="005B610E"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Farklı finans kurumları arasında haksız rekabete yol açan vergi uygulamaları tespit edilerek  ortadan kaldırılacaktır.</w:t>
      </w:r>
    </w:p>
    <w:p w:rsidR="005B610E" w:rsidRPr="0010769B" w:rsidRDefault="005B610E"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Finansal araçlar ile bunların dayanak varlıklarına ilişkin vergi uygulamaları </w:t>
      </w:r>
      <w:r w:rsidR="00B3628D">
        <w:rPr>
          <w:rFonts w:ascii="Arial" w:hAnsi="Arial" w:cs="Arial"/>
          <w:sz w:val="24"/>
          <w:szCs w:val="24"/>
          <w:lang w:val="tr-TR"/>
        </w:rPr>
        <w:t>uyumlaştırılacaktır</w:t>
      </w:r>
      <w:r w:rsidRPr="0010769B">
        <w:rPr>
          <w:rFonts w:ascii="Arial" w:hAnsi="Arial" w:cs="Arial"/>
          <w:sz w:val="24"/>
          <w:szCs w:val="24"/>
        </w:rPr>
        <w:t>.</w:t>
      </w:r>
    </w:p>
    <w:p w:rsidR="00814BB9" w:rsidRPr="00032574"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 xml:space="preserve">Bireylerin finansal ürünler hakkındaki bilgi düzeyinin artırılması, yatırımcı tabanının genişletilmesi, </w:t>
      </w:r>
      <w:r w:rsidR="00954A03" w:rsidRPr="00D86959">
        <w:rPr>
          <w:rFonts w:ascii="Arial" w:hAnsi="Arial" w:cs="Arial"/>
          <w:sz w:val="24"/>
          <w:szCs w:val="24"/>
        </w:rPr>
        <w:t>yurt içi</w:t>
      </w:r>
      <w:r w:rsidRPr="00032574">
        <w:rPr>
          <w:rFonts w:ascii="Arial" w:hAnsi="Arial" w:cs="Arial"/>
          <w:sz w:val="24"/>
          <w:szCs w:val="24"/>
        </w:rPr>
        <w:t xml:space="preserve"> tasarrufların artırılması ve mali piyasaların daha sağlıklı işlemesinin sağlanması amacıyla finansal eğitim yaygınlaştırılacaktır.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032574">
        <w:rPr>
          <w:rFonts w:ascii="Arial" w:hAnsi="Arial" w:cs="Arial"/>
          <w:sz w:val="24"/>
          <w:szCs w:val="24"/>
        </w:rPr>
        <w:t>Finansal ürün ve hizmetleri arz edenler ile finansal tüketiciler arasında</w:t>
      </w:r>
      <w:r w:rsidRPr="0010769B">
        <w:rPr>
          <w:rFonts w:ascii="Arial" w:hAnsi="Arial" w:cs="Arial"/>
          <w:sz w:val="24"/>
          <w:szCs w:val="24"/>
        </w:rPr>
        <w:t xml:space="preserve"> adi</w:t>
      </w:r>
      <w:r w:rsidR="00B63411" w:rsidRPr="0010769B">
        <w:rPr>
          <w:rFonts w:ascii="Arial" w:hAnsi="Arial" w:cs="Arial"/>
          <w:sz w:val="24"/>
          <w:szCs w:val="24"/>
        </w:rPr>
        <w:t>l bir alışveriş ortamı</w:t>
      </w:r>
      <w:r w:rsidRPr="0010769B">
        <w:rPr>
          <w:rFonts w:ascii="Arial" w:hAnsi="Arial" w:cs="Arial"/>
          <w:sz w:val="24"/>
          <w:szCs w:val="24"/>
        </w:rPr>
        <w:t xml:space="preserve"> sağlamaya yönelik uygulamalar hayata geçirilecektir.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Sermaye piyasalarında yatırımcı haklarının iyileştirilmesine yönelik uygulamalar geliştirilecektir. </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lastRenderedPageBreak/>
        <w:t>Mali piyasalara ilişkin uyuşmazlıkların süratli ve etkin bir şekilde çözümüne yönelik düzenleme yapılacak ve uygulama güçlendirilecektir.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Tasarrufların daha uzun vadeli finansal araçlarda değerlendirilmesine yönelik gerekli düzenlemeler yapılacaktır. </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KOBİ ve girişimcilerin finansmana erişimini kolaylaştıracak alternatif finansman yöntemleri geliştirilecektir.</w:t>
      </w:r>
    </w:p>
    <w:p w:rsidR="00814BB9" w:rsidRPr="00585E68" w:rsidRDefault="008E6992" w:rsidP="0010769B">
      <w:pPr>
        <w:tabs>
          <w:tab w:val="left" w:pos="567"/>
        </w:tabs>
        <w:spacing w:after="120" w:line="240" w:lineRule="auto"/>
        <w:jc w:val="both"/>
        <w:rPr>
          <w:rFonts w:ascii="Arial" w:hAnsi="Arial" w:cs="Arial"/>
          <w:b/>
          <w:sz w:val="24"/>
          <w:szCs w:val="24"/>
        </w:rPr>
      </w:pPr>
      <w:r>
        <w:rPr>
          <w:rFonts w:ascii="Arial" w:hAnsi="Arial" w:cs="Arial"/>
          <w:b/>
          <w:sz w:val="24"/>
          <w:szCs w:val="24"/>
        </w:rPr>
        <w:tab/>
      </w:r>
      <w:r w:rsidR="00814BB9" w:rsidRPr="00585E68">
        <w:rPr>
          <w:rFonts w:ascii="Arial" w:hAnsi="Arial" w:cs="Arial"/>
          <w:b/>
          <w:sz w:val="24"/>
          <w:szCs w:val="24"/>
        </w:rPr>
        <w:t xml:space="preserve">6. </w:t>
      </w:r>
      <w:r w:rsidR="002D503A" w:rsidRPr="00585E68">
        <w:rPr>
          <w:rFonts w:ascii="Arial" w:hAnsi="Arial" w:cs="Arial"/>
          <w:b/>
          <w:sz w:val="24"/>
          <w:szCs w:val="24"/>
        </w:rPr>
        <w:t xml:space="preserve">İstihdam Politikaları </w:t>
      </w:r>
    </w:p>
    <w:p w:rsidR="00814BB9" w:rsidRPr="00032574" w:rsidRDefault="00C87651"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S</w:t>
      </w:r>
      <w:r w:rsidR="00814BB9" w:rsidRPr="00FF7774">
        <w:rPr>
          <w:rFonts w:ascii="Arial" w:hAnsi="Arial" w:cs="Arial"/>
          <w:sz w:val="24"/>
          <w:szCs w:val="24"/>
        </w:rPr>
        <w:t xml:space="preserve">ürdürülebilir ve kapsayıcı büyüme anlayışıyla, nitelikli istihdam imkânlarının geliştirildiği ve çalışma hayatına ilişkin kuralların etkin bir </w:t>
      </w:r>
      <w:r w:rsidR="00814BB9" w:rsidRPr="00D86959">
        <w:rPr>
          <w:rFonts w:ascii="Arial" w:hAnsi="Arial" w:cs="Arial"/>
          <w:sz w:val="24"/>
          <w:szCs w:val="24"/>
        </w:rPr>
        <w:t>şekilde uygulandığı rekabetçi bir işgücü piyasasının oluşturulması temel amaçtır.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032574">
        <w:rPr>
          <w:rFonts w:ascii="Arial" w:hAnsi="Arial" w:cs="Arial"/>
          <w:sz w:val="24"/>
          <w:szCs w:val="24"/>
        </w:rPr>
        <w:t>Bireylere işgücü piyasasının talepleriyle uyumlu temel ve mesleki beceriler kazandırılacak,  iş-aile yaşamı uyumlu hale getirilecek, aktif işgücü politikaları bölge ve sektör bazında yapılan etki analizlerine dayalı olarak uygul</w:t>
      </w:r>
      <w:r w:rsidRPr="0010769B">
        <w:rPr>
          <w:rFonts w:ascii="Arial" w:hAnsi="Arial" w:cs="Arial"/>
          <w:sz w:val="24"/>
          <w:szCs w:val="24"/>
        </w:rPr>
        <w:t>anacaktır.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Etkin ve bütüncül bir istihdam politikası izlenerek; kadın, genç ve engelliler başta olmak üzere, işgücüne katılım ve istihdam oranları artırılmaya devam edilecektir. </w:t>
      </w:r>
    </w:p>
    <w:p w:rsidR="00CF3188" w:rsidRPr="0010769B" w:rsidRDefault="00CF3188"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İstihdam teşvikleri sadeleştirilerek basit ve anlaşılır hale getirilecek; teşviklerde etkinliğin artırılmasına yönelik </w:t>
      </w:r>
      <w:r w:rsidR="006B1314" w:rsidRPr="0010769B">
        <w:rPr>
          <w:rFonts w:ascii="Arial" w:hAnsi="Arial" w:cs="Arial"/>
          <w:sz w:val="24"/>
          <w:szCs w:val="24"/>
        </w:rPr>
        <w:t>i</w:t>
      </w:r>
      <w:r w:rsidRPr="0010769B">
        <w:rPr>
          <w:rFonts w:ascii="Arial" w:hAnsi="Arial" w:cs="Arial"/>
          <w:sz w:val="24"/>
          <w:szCs w:val="24"/>
        </w:rPr>
        <w:t xml:space="preserve">zleme </w:t>
      </w:r>
      <w:r w:rsidR="006B1314" w:rsidRPr="0010769B">
        <w:rPr>
          <w:rFonts w:ascii="Arial" w:hAnsi="Arial" w:cs="Arial"/>
          <w:sz w:val="24"/>
          <w:szCs w:val="24"/>
        </w:rPr>
        <w:t>s</w:t>
      </w:r>
      <w:r w:rsidRPr="0010769B">
        <w:rPr>
          <w:rFonts w:ascii="Arial" w:hAnsi="Arial" w:cs="Arial"/>
          <w:sz w:val="24"/>
          <w:szCs w:val="24"/>
        </w:rPr>
        <w:t xml:space="preserve">istemi oluşturulacaktır. </w:t>
      </w:r>
    </w:p>
    <w:p w:rsidR="00814BB9" w:rsidRPr="00D86959"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FF7774">
        <w:rPr>
          <w:rFonts w:ascii="Arial" w:hAnsi="Arial" w:cs="Arial"/>
          <w:sz w:val="24"/>
          <w:szCs w:val="24"/>
        </w:rPr>
        <w:t xml:space="preserve">Özel istihdam büroları yaygınlaştırılacak ve faaliyet alanları geçici iş ilişkisini de kapsayacak şekilde genişletilecektir. </w:t>
      </w:r>
    </w:p>
    <w:p w:rsidR="00814BB9" w:rsidRPr="00032574"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032574">
        <w:rPr>
          <w:rFonts w:ascii="Arial" w:hAnsi="Arial" w:cs="Arial"/>
          <w:sz w:val="24"/>
          <w:szCs w:val="24"/>
        </w:rPr>
        <w:t>Alt işverenlik uygulaması işçi haklarını ve ekonominin rekabet gücünü dikkate alacak şekilde gözden geçirilecektir.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032574">
        <w:rPr>
          <w:rFonts w:ascii="Arial" w:hAnsi="Arial" w:cs="Arial"/>
          <w:sz w:val="24"/>
          <w:szCs w:val="24"/>
        </w:rPr>
        <w:t>İşçi sağlığı ve güvenliği alanında denetimler etkinleştirilecek, teşvikler ve bilinç artırıcı faaliyetler yoluyla, başta yüksek riskli sektörler olmak üzere, çalışma hayatınd</w:t>
      </w:r>
      <w:r w:rsidRPr="0010769B">
        <w:rPr>
          <w:rFonts w:ascii="Arial" w:hAnsi="Arial" w:cs="Arial"/>
          <w:sz w:val="24"/>
          <w:szCs w:val="24"/>
        </w:rPr>
        <w:t xml:space="preserve">a güvenlik kültürü yaygınlaştırılacaktır. </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Yoksul kesimin istihdam edilebilirliğinin artırılması ve üretken duruma geçirilmesine yönelik olarak sosyal yardım-istihdam bağlantısı güçlendirilecektir.</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Sosyal taraflarla diyalog içerisinde tüm işçilerin faydalanacağı ve bireysel hesaba dayanan bir kıdem tazminatı sistemi geliştirilecektir.  </w:t>
      </w:r>
    </w:p>
    <w:p w:rsidR="00814BB9" w:rsidRPr="0010769B" w:rsidRDefault="00814BB9"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Kayıt dışı istihdam ve kayıt dışı ücretle mücadele edilerek kayıtlı çalışan sayısı artırılacak ve prim tabanı genişletilecektir.</w:t>
      </w:r>
    </w:p>
    <w:p w:rsidR="00CF3188" w:rsidRPr="0010769B" w:rsidRDefault="00CF3188" w:rsidP="0010769B">
      <w:pPr>
        <w:pStyle w:val="ListeParagraf"/>
        <w:numPr>
          <w:ilvl w:val="0"/>
          <w:numId w:val="1"/>
        </w:numPr>
        <w:tabs>
          <w:tab w:val="left" w:pos="567"/>
        </w:tabs>
        <w:spacing w:after="120" w:line="240" w:lineRule="auto"/>
        <w:ind w:left="0" w:firstLine="0"/>
        <w:contextualSpacing w:val="0"/>
        <w:jc w:val="both"/>
        <w:rPr>
          <w:rFonts w:ascii="Arial" w:hAnsi="Arial" w:cs="Arial"/>
          <w:sz w:val="24"/>
          <w:szCs w:val="24"/>
        </w:rPr>
      </w:pPr>
      <w:r w:rsidRPr="0010769B">
        <w:rPr>
          <w:rFonts w:ascii="Arial" w:hAnsi="Arial" w:cs="Arial"/>
          <w:sz w:val="24"/>
          <w:szCs w:val="24"/>
        </w:rPr>
        <w:t xml:space="preserve">Sanayide yapısal dönüşümü gerçekleştirmek ve işgücü piyasasının niteliğini artırmak amacıyla başta araştırma alanında olmak üzere </w:t>
      </w:r>
      <w:r w:rsidR="00954A03" w:rsidRPr="0010769B">
        <w:rPr>
          <w:rFonts w:ascii="Arial" w:hAnsi="Arial" w:cs="Arial"/>
          <w:sz w:val="24"/>
          <w:szCs w:val="24"/>
        </w:rPr>
        <w:t>yurt dışı</w:t>
      </w:r>
      <w:r w:rsidRPr="0010769B">
        <w:rPr>
          <w:rFonts w:ascii="Arial" w:hAnsi="Arial" w:cs="Arial"/>
          <w:sz w:val="24"/>
          <w:szCs w:val="24"/>
        </w:rPr>
        <w:t>ndan nitelikli işgücü göçünün hızlandırılması sağlanacaktır.</w:t>
      </w:r>
    </w:p>
    <w:p w:rsidR="00814BB9" w:rsidRDefault="00814BB9" w:rsidP="0010769B">
      <w:pPr>
        <w:tabs>
          <w:tab w:val="left" w:pos="567"/>
        </w:tabs>
        <w:spacing w:after="120" w:line="240" w:lineRule="auto"/>
        <w:rPr>
          <w:rFonts w:ascii="Arial" w:hAnsi="Arial" w:cs="Arial"/>
          <w:sz w:val="24"/>
          <w:szCs w:val="24"/>
        </w:rPr>
      </w:pPr>
    </w:p>
    <w:p w:rsidR="00631687" w:rsidRDefault="00631687" w:rsidP="0010769B">
      <w:pPr>
        <w:tabs>
          <w:tab w:val="left" w:pos="567"/>
        </w:tabs>
        <w:spacing w:after="120" w:line="240" w:lineRule="auto"/>
        <w:rPr>
          <w:rFonts w:ascii="Arial" w:hAnsi="Arial" w:cs="Arial"/>
          <w:sz w:val="24"/>
          <w:szCs w:val="24"/>
        </w:rPr>
      </w:pPr>
    </w:p>
    <w:p w:rsidR="00631687" w:rsidRDefault="00631687" w:rsidP="0010769B">
      <w:pPr>
        <w:tabs>
          <w:tab w:val="left" w:pos="567"/>
        </w:tabs>
        <w:spacing w:after="120" w:line="240" w:lineRule="auto"/>
        <w:rPr>
          <w:rFonts w:ascii="Arial" w:hAnsi="Arial" w:cs="Arial"/>
          <w:sz w:val="24"/>
          <w:szCs w:val="24"/>
        </w:rPr>
      </w:pPr>
    </w:p>
    <w:p w:rsidR="005D762D" w:rsidRDefault="005D762D" w:rsidP="0010769B">
      <w:pPr>
        <w:tabs>
          <w:tab w:val="left" w:pos="567"/>
        </w:tabs>
        <w:spacing w:after="120" w:line="240" w:lineRule="auto"/>
        <w:rPr>
          <w:rFonts w:ascii="Arial" w:hAnsi="Arial" w:cs="Arial"/>
          <w:sz w:val="24"/>
          <w:szCs w:val="24"/>
        </w:rPr>
      </w:pPr>
    </w:p>
    <w:p w:rsidR="005D762D" w:rsidRDefault="005D762D" w:rsidP="0010769B">
      <w:pPr>
        <w:tabs>
          <w:tab w:val="left" w:pos="567"/>
        </w:tabs>
        <w:spacing w:after="120" w:line="240" w:lineRule="auto"/>
        <w:rPr>
          <w:rFonts w:ascii="Arial" w:hAnsi="Arial" w:cs="Arial"/>
          <w:sz w:val="24"/>
          <w:szCs w:val="24"/>
        </w:rPr>
      </w:pPr>
    </w:p>
    <w:p w:rsidR="005D762D" w:rsidRDefault="005D762D" w:rsidP="0010769B">
      <w:pPr>
        <w:tabs>
          <w:tab w:val="left" w:pos="567"/>
        </w:tabs>
        <w:spacing w:after="120" w:line="240" w:lineRule="auto"/>
        <w:rPr>
          <w:rFonts w:ascii="Arial" w:hAnsi="Arial" w:cs="Arial"/>
          <w:sz w:val="24"/>
          <w:szCs w:val="24"/>
        </w:rPr>
      </w:pPr>
    </w:p>
    <w:p w:rsidR="005D762D" w:rsidRPr="00E077B6" w:rsidRDefault="005D762D" w:rsidP="005D762D">
      <w:pPr>
        <w:pStyle w:val="Balk1"/>
        <w:spacing w:after="200"/>
        <w:ind w:left="357" w:hanging="357"/>
        <w:rPr>
          <w:sz w:val="22"/>
          <w:szCs w:val="24"/>
        </w:rPr>
      </w:pPr>
      <w:bookmarkStart w:id="3" w:name="_Toc202075283"/>
      <w:r w:rsidRPr="00E077B6">
        <w:rPr>
          <w:sz w:val="22"/>
          <w:szCs w:val="24"/>
        </w:rPr>
        <w:lastRenderedPageBreak/>
        <w:t>Ek Tablo 1: Temel Ekonomik Büyüklükler</w:t>
      </w:r>
      <w:bookmarkEnd w:id="3"/>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2"/>
        <w:gridCol w:w="1110"/>
        <w:gridCol w:w="970"/>
        <w:gridCol w:w="970"/>
        <w:gridCol w:w="970"/>
        <w:gridCol w:w="887"/>
      </w:tblGrid>
      <w:tr w:rsidR="0010769B" w:rsidRPr="0080502C" w:rsidTr="0010769B">
        <w:trPr>
          <w:trHeight w:val="285"/>
        </w:trPr>
        <w:tc>
          <w:tcPr>
            <w:tcW w:w="2273" w:type="pct"/>
            <w:shd w:val="clear" w:color="auto" w:fill="auto"/>
            <w:noWrap/>
            <w:vAlign w:val="center"/>
          </w:tcPr>
          <w:p w:rsidR="005D762D" w:rsidRPr="0080502C" w:rsidRDefault="005D762D" w:rsidP="002A41A8">
            <w:pPr>
              <w:spacing w:line="240" w:lineRule="auto"/>
              <w:rPr>
                <w:rFonts w:ascii="Arial" w:hAnsi="Arial" w:cs="Arial"/>
                <w:b/>
                <w:sz w:val="18"/>
                <w:szCs w:val="18"/>
              </w:rPr>
            </w:pPr>
            <w:r w:rsidRPr="0080502C">
              <w:rPr>
                <w:rFonts w:ascii="Arial" w:hAnsi="Arial" w:cs="Arial"/>
                <w:b/>
                <w:sz w:val="18"/>
                <w:szCs w:val="18"/>
              </w:rPr>
              <w:t> </w:t>
            </w:r>
          </w:p>
        </w:tc>
        <w:tc>
          <w:tcPr>
            <w:tcW w:w="617" w:type="pct"/>
            <w:vAlign w:val="center"/>
          </w:tcPr>
          <w:p w:rsidR="005D762D" w:rsidRPr="0080502C" w:rsidRDefault="005D762D" w:rsidP="002A41A8">
            <w:pPr>
              <w:spacing w:after="0" w:line="240" w:lineRule="auto"/>
              <w:jc w:val="right"/>
              <w:rPr>
                <w:rFonts w:ascii="Arial" w:hAnsi="Arial" w:cs="Arial"/>
                <w:b/>
                <w:bCs/>
                <w:sz w:val="18"/>
                <w:szCs w:val="18"/>
              </w:rPr>
            </w:pPr>
            <w:r w:rsidRPr="0080502C">
              <w:rPr>
                <w:rFonts w:ascii="Arial" w:hAnsi="Arial" w:cs="Arial"/>
                <w:b/>
                <w:bCs/>
                <w:sz w:val="18"/>
                <w:szCs w:val="18"/>
              </w:rPr>
              <w:t xml:space="preserve">2013 </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b/>
                <w:bCs/>
                <w:sz w:val="18"/>
                <w:szCs w:val="18"/>
              </w:rPr>
            </w:pPr>
            <w:r w:rsidRPr="0080502C">
              <w:rPr>
                <w:rFonts w:ascii="Arial" w:hAnsi="Arial" w:cs="Arial"/>
                <w:b/>
                <w:bCs/>
                <w:sz w:val="18"/>
                <w:szCs w:val="18"/>
              </w:rPr>
              <w:t xml:space="preserve">2014 </w:t>
            </w:r>
            <w:r w:rsidRPr="0080502C">
              <w:rPr>
                <w:rFonts w:ascii="Arial" w:hAnsi="Arial" w:cs="Arial"/>
                <w:b/>
                <w:bCs/>
                <w:sz w:val="18"/>
                <w:szCs w:val="18"/>
                <w:vertAlign w:val="superscript"/>
              </w:rPr>
              <w:t>(1)</w:t>
            </w:r>
            <w:r w:rsidRPr="0080502C">
              <w:rPr>
                <w:rFonts w:ascii="Arial" w:hAnsi="Arial" w:cs="Arial"/>
                <w:b/>
                <w:bCs/>
                <w:sz w:val="18"/>
                <w:szCs w:val="18"/>
              </w:rPr>
              <w:t xml:space="preserve"> </w:t>
            </w:r>
          </w:p>
        </w:tc>
        <w:tc>
          <w:tcPr>
            <w:tcW w:w="539" w:type="pct"/>
            <w:shd w:val="clear" w:color="auto" w:fill="auto"/>
            <w:noWrap/>
            <w:vAlign w:val="center"/>
          </w:tcPr>
          <w:p w:rsidR="005D762D" w:rsidRPr="0080502C" w:rsidRDefault="005D762D" w:rsidP="002A41A8">
            <w:pPr>
              <w:spacing w:after="0" w:line="240" w:lineRule="auto"/>
              <w:jc w:val="right"/>
              <w:rPr>
                <w:rFonts w:ascii="Arial" w:hAnsi="Arial" w:cs="Arial"/>
                <w:b/>
                <w:bCs/>
                <w:sz w:val="18"/>
                <w:szCs w:val="18"/>
              </w:rPr>
            </w:pPr>
            <w:r w:rsidRPr="0080502C">
              <w:rPr>
                <w:rFonts w:ascii="Arial" w:hAnsi="Arial" w:cs="Arial"/>
                <w:b/>
                <w:bCs/>
                <w:sz w:val="18"/>
                <w:szCs w:val="18"/>
              </w:rPr>
              <w:t xml:space="preserve">2015 </w:t>
            </w:r>
            <w:r w:rsidRPr="0080502C">
              <w:rPr>
                <w:rFonts w:ascii="Arial" w:hAnsi="Arial" w:cs="Arial"/>
                <w:b/>
                <w:bCs/>
                <w:sz w:val="18"/>
                <w:szCs w:val="18"/>
                <w:vertAlign w:val="superscript"/>
              </w:rPr>
              <w:t>(2)</w:t>
            </w:r>
            <w:r w:rsidRPr="0080502C">
              <w:rPr>
                <w:rFonts w:ascii="Arial" w:hAnsi="Arial" w:cs="Arial"/>
                <w:b/>
                <w:bCs/>
                <w:sz w:val="18"/>
                <w:szCs w:val="18"/>
              </w:rPr>
              <w:t xml:space="preserve"> </w:t>
            </w:r>
          </w:p>
        </w:tc>
        <w:tc>
          <w:tcPr>
            <w:tcW w:w="539" w:type="pct"/>
            <w:shd w:val="clear" w:color="auto" w:fill="auto"/>
            <w:noWrap/>
            <w:vAlign w:val="center"/>
          </w:tcPr>
          <w:p w:rsidR="005D762D" w:rsidRPr="0080502C" w:rsidRDefault="005D762D" w:rsidP="002A41A8">
            <w:pPr>
              <w:spacing w:after="0" w:line="240" w:lineRule="auto"/>
              <w:jc w:val="right"/>
              <w:rPr>
                <w:rFonts w:ascii="Arial" w:hAnsi="Arial" w:cs="Arial"/>
                <w:b/>
                <w:bCs/>
                <w:sz w:val="18"/>
                <w:szCs w:val="18"/>
              </w:rPr>
            </w:pPr>
            <w:r w:rsidRPr="0080502C">
              <w:rPr>
                <w:rFonts w:ascii="Arial" w:hAnsi="Arial" w:cs="Arial"/>
                <w:b/>
                <w:bCs/>
                <w:sz w:val="18"/>
                <w:szCs w:val="18"/>
              </w:rPr>
              <w:t xml:space="preserve">2016 </w:t>
            </w:r>
            <w:r w:rsidRPr="0080502C">
              <w:rPr>
                <w:rFonts w:ascii="Arial" w:hAnsi="Arial" w:cs="Arial"/>
                <w:b/>
                <w:bCs/>
                <w:sz w:val="18"/>
                <w:szCs w:val="18"/>
                <w:vertAlign w:val="superscript"/>
              </w:rPr>
              <w:t>(2)</w:t>
            </w:r>
            <w:r w:rsidRPr="0080502C">
              <w:rPr>
                <w:rFonts w:ascii="Arial" w:hAnsi="Arial" w:cs="Arial"/>
                <w:b/>
                <w:bCs/>
                <w:sz w:val="18"/>
                <w:szCs w:val="18"/>
              </w:rPr>
              <w:t xml:space="preserve"> </w:t>
            </w:r>
          </w:p>
        </w:tc>
        <w:tc>
          <w:tcPr>
            <w:tcW w:w="493" w:type="pct"/>
            <w:vAlign w:val="center"/>
          </w:tcPr>
          <w:p w:rsidR="005D762D" w:rsidRPr="0080502C" w:rsidRDefault="005D762D" w:rsidP="002A41A8">
            <w:pPr>
              <w:spacing w:after="0" w:line="240" w:lineRule="auto"/>
              <w:jc w:val="right"/>
              <w:rPr>
                <w:rFonts w:ascii="Arial" w:hAnsi="Arial" w:cs="Arial"/>
                <w:b/>
                <w:bCs/>
                <w:sz w:val="18"/>
                <w:szCs w:val="18"/>
              </w:rPr>
            </w:pPr>
            <w:r w:rsidRPr="0080502C">
              <w:rPr>
                <w:rFonts w:ascii="Arial" w:hAnsi="Arial" w:cs="Arial"/>
                <w:b/>
                <w:bCs/>
                <w:sz w:val="18"/>
                <w:szCs w:val="18"/>
              </w:rPr>
              <w:t xml:space="preserve">2017 </w:t>
            </w:r>
            <w:r w:rsidRPr="0080502C">
              <w:rPr>
                <w:rFonts w:ascii="Arial" w:hAnsi="Arial" w:cs="Arial"/>
                <w:b/>
                <w:bCs/>
                <w:sz w:val="18"/>
                <w:szCs w:val="18"/>
                <w:vertAlign w:val="superscript"/>
              </w:rPr>
              <w:t>(2)</w:t>
            </w:r>
            <w:r w:rsidRPr="0080502C">
              <w:rPr>
                <w:rFonts w:ascii="Arial" w:hAnsi="Arial" w:cs="Arial"/>
                <w:b/>
                <w:bCs/>
                <w:sz w:val="18"/>
                <w:szCs w:val="18"/>
              </w:rPr>
              <w:t xml:space="preserve"> </w:t>
            </w:r>
          </w:p>
        </w:tc>
      </w:tr>
      <w:tr w:rsidR="0010769B" w:rsidRPr="0080502C" w:rsidTr="0010769B">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b/>
                <w:bCs/>
                <w:sz w:val="18"/>
                <w:szCs w:val="18"/>
              </w:rPr>
            </w:pPr>
            <w:r w:rsidRPr="0080502C">
              <w:rPr>
                <w:rFonts w:ascii="Arial" w:hAnsi="Arial" w:cs="Arial"/>
                <w:b/>
                <w:bCs/>
                <w:sz w:val="18"/>
                <w:szCs w:val="18"/>
              </w:rPr>
              <w:t xml:space="preserve">BÜYÜME </w:t>
            </w:r>
          </w:p>
        </w:tc>
        <w:tc>
          <w:tcPr>
            <w:tcW w:w="617" w:type="pct"/>
            <w:vAlign w:val="center"/>
          </w:tcPr>
          <w:p w:rsidR="005D762D" w:rsidRPr="0080502C" w:rsidRDefault="005D762D" w:rsidP="002A41A8">
            <w:pPr>
              <w:spacing w:after="0" w:line="240" w:lineRule="auto"/>
              <w:jc w:val="right"/>
              <w:rPr>
                <w:rFonts w:ascii="Arial" w:hAnsi="Arial" w:cs="Arial"/>
                <w:sz w:val="18"/>
                <w:szCs w:val="18"/>
              </w:rPr>
            </w:pPr>
          </w:p>
        </w:tc>
        <w:tc>
          <w:tcPr>
            <w:tcW w:w="539" w:type="pct"/>
            <w:shd w:val="clear" w:color="auto" w:fill="auto"/>
            <w:noWrap/>
            <w:vAlign w:val="center"/>
          </w:tcPr>
          <w:p w:rsidR="005D762D" w:rsidRPr="0080502C" w:rsidRDefault="005D762D" w:rsidP="002A41A8">
            <w:pPr>
              <w:spacing w:after="0" w:line="240" w:lineRule="auto"/>
              <w:jc w:val="right"/>
              <w:rPr>
                <w:rFonts w:ascii="Arial" w:hAnsi="Arial" w:cs="Arial"/>
                <w:sz w:val="18"/>
                <w:szCs w:val="18"/>
              </w:rPr>
            </w:pPr>
          </w:p>
        </w:tc>
        <w:tc>
          <w:tcPr>
            <w:tcW w:w="539" w:type="pct"/>
            <w:shd w:val="clear" w:color="auto" w:fill="auto"/>
            <w:noWrap/>
            <w:vAlign w:val="center"/>
          </w:tcPr>
          <w:p w:rsidR="005D762D" w:rsidRPr="0080502C" w:rsidRDefault="005D762D" w:rsidP="002A41A8">
            <w:pPr>
              <w:spacing w:after="0" w:line="240" w:lineRule="auto"/>
              <w:jc w:val="right"/>
              <w:rPr>
                <w:rFonts w:ascii="Arial" w:hAnsi="Arial" w:cs="Arial"/>
                <w:sz w:val="18"/>
                <w:szCs w:val="18"/>
              </w:rPr>
            </w:pPr>
          </w:p>
        </w:tc>
        <w:tc>
          <w:tcPr>
            <w:tcW w:w="539" w:type="pct"/>
            <w:shd w:val="clear" w:color="auto" w:fill="auto"/>
            <w:noWrap/>
            <w:vAlign w:val="center"/>
          </w:tcPr>
          <w:p w:rsidR="005D762D" w:rsidRPr="0080502C" w:rsidRDefault="005D762D" w:rsidP="002A41A8">
            <w:pPr>
              <w:spacing w:after="0" w:line="240" w:lineRule="auto"/>
              <w:jc w:val="right"/>
              <w:rPr>
                <w:rFonts w:ascii="Arial" w:hAnsi="Arial" w:cs="Arial"/>
                <w:sz w:val="18"/>
                <w:szCs w:val="18"/>
              </w:rPr>
            </w:pPr>
          </w:p>
        </w:tc>
        <w:tc>
          <w:tcPr>
            <w:tcW w:w="493" w:type="pct"/>
            <w:vAlign w:val="center"/>
          </w:tcPr>
          <w:p w:rsidR="005D762D" w:rsidRPr="0080502C" w:rsidRDefault="005D762D" w:rsidP="002A41A8">
            <w:pPr>
              <w:spacing w:after="0" w:line="240" w:lineRule="auto"/>
              <w:jc w:val="right"/>
              <w:rPr>
                <w:rFonts w:ascii="Arial" w:hAnsi="Arial" w:cs="Arial"/>
                <w:sz w:val="18"/>
                <w:szCs w:val="18"/>
              </w:rPr>
            </w:pPr>
          </w:p>
        </w:tc>
      </w:tr>
      <w:tr w:rsidR="0010769B" w:rsidRPr="0080502C" w:rsidTr="0010769B">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GSYH (Milyar TL, Cari Fiyatlarla)</w:t>
            </w:r>
          </w:p>
        </w:tc>
        <w:tc>
          <w:tcPr>
            <w:tcW w:w="617"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1.565</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1.764</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1.945</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2.150</w:t>
            </w:r>
          </w:p>
        </w:tc>
        <w:tc>
          <w:tcPr>
            <w:tcW w:w="493"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2.370</w:t>
            </w:r>
          </w:p>
        </w:tc>
      </w:tr>
      <w:tr w:rsidR="0010769B" w:rsidRPr="0080502C" w:rsidTr="0010769B">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GSYH (Milyar Dolar, Cari Fiyatlarla)</w:t>
            </w:r>
          </w:p>
        </w:tc>
        <w:tc>
          <w:tcPr>
            <w:tcW w:w="617"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822</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810</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850</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907</w:t>
            </w:r>
          </w:p>
        </w:tc>
        <w:tc>
          <w:tcPr>
            <w:tcW w:w="493"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971</w:t>
            </w:r>
          </w:p>
        </w:tc>
      </w:tr>
      <w:tr w:rsidR="0010769B" w:rsidRPr="0080502C" w:rsidTr="0010769B">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Kişi Başına Milli Gelir (GSYH, Dolar)</w:t>
            </w:r>
          </w:p>
        </w:tc>
        <w:tc>
          <w:tcPr>
            <w:tcW w:w="617"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10.807</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10.537</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10.936</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11.541</w:t>
            </w:r>
          </w:p>
        </w:tc>
        <w:tc>
          <w:tcPr>
            <w:tcW w:w="493"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12.229</w:t>
            </w:r>
          </w:p>
        </w:tc>
      </w:tr>
      <w:tr w:rsidR="0010769B" w:rsidRPr="0080502C" w:rsidTr="0010769B">
        <w:trPr>
          <w:trHeight w:val="285"/>
        </w:trPr>
        <w:tc>
          <w:tcPr>
            <w:tcW w:w="2273" w:type="pct"/>
            <w:shd w:val="clear" w:color="auto" w:fill="auto"/>
            <w:noWrap/>
            <w:vAlign w:val="center"/>
          </w:tcPr>
          <w:p w:rsidR="005D762D" w:rsidRPr="0080502C" w:rsidRDefault="005D762D" w:rsidP="002A41A8">
            <w:pPr>
              <w:spacing w:after="0" w:line="240" w:lineRule="auto"/>
              <w:rPr>
                <w:rFonts w:ascii="Arial" w:hAnsi="Arial" w:cs="Arial"/>
                <w:sz w:val="18"/>
                <w:szCs w:val="16"/>
              </w:rPr>
            </w:pPr>
            <w:r w:rsidRPr="0080502C">
              <w:rPr>
                <w:rFonts w:ascii="Arial" w:hAnsi="Arial" w:cs="Arial"/>
                <w:sz w:val="18"/>
                <w:szCs w:val="16"/>
              </w:rPr>
              <w:t xml:space="preserve">  GSYH Büyümesi </w:t>
            </w:r>
            <w:r w:rsidRPr="0080502C">
              <w:rPr>
                <w:rFonts w:ascii="Arial" w:hAnsi="Arial" w:cs="Arial"/>
                <w:sz w:val="18"/>
                <w:szCs w:val="16"/>
                <w:vertAlign w:val="superscript"/>
              </w:rPr>
              <w:t>(3)</w:t>
            </w:r>
          </w:p>
        </w:tc>
        <w:tc>
          <w:tcPr>
            <w:tcW w:w="617"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4,1</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3,3</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4,0</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5,0</w:t>
            </w:r>
          </w:p>
        </w:tc>
        <w:tc>
          <w:tcPr>
            <w:tcW w:w="493"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5,0</w:t>
            </w:r>
          </w:p>
        </w:tc>
      </w:tr>
      <w:tr w:rsidR="0010769B" w:rsidRPr="0080502C" w:rsidTr="0010769B">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 xml:space="preserve">Toplam Tüketim </w:t>
            </w:r>
            <w:r w:rsidRPr="0080502C">
              <w:rPr>
                <w:rFonts w:ascii="Arial" w:hAnsi="Arial" w:cs="Arial"/>
                <w:sz w:val="18"/>
                <w:szCs w:val="16"/>
                <w:vertAlign w:val="superscript"/>
              </w:rPr>
              <w:t>(3)</w:t>
            </w:r>
          </w:p>
        </w:tc>
        <w:tc>
          <w:tcPr>
            <w:tcW w:w="617"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5,2</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1,9</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3,8</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4,0</w:t>
            </w:r>
          </w:p>
        </w:tc>
        <w:tc>
          <w:tcPr>
            <w:tcW w:w="493"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3,9</w:t>
            </w:r>
          </w:p>
        </w:tc>
      </w:tr>
      <w:tr w:rsidR="0010769B" w:rsidRPr="0080502C" w:rsidTr="0010769B">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 xml:space="preserve">   Kamu</w:t>
            </w:r>
          </w:p>
        </w:tc>
        <w:tc>
          <w:tcPr>
            <w:tcW w:w="617"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7,1</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4,5</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2,2</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3,8</w:t>
            </w:r>
          </w:p>
        </w:tc>
        <w:tc>
          <w:tcPr>
            <w:tcW w:w="493"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3,3</w:t>
            </w:r>
          </w:p>
        </w:tc>
      </w:tr>
      <w:tr w:rsidR="0010769B" w:rsidRPr="0080502C" w:rsidTr="0010769B">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 xml:space="preserve">   Özel</w:t>
            </w:r>
          </w:p>
        </w:tc>
        <w:tc>
          <w:tcPr>
            <w:tcW w:w="617"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4,9</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1,6</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4,0</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4,0</w:t>
            </w:r>
          </w:p>
        </w:tc>
        <w:tc>
          <w:tcPr>
            <w:tcW w:w="493"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4,0</w:t>
            </w:r>
          </w:p>
        </w:tc>
      </w:tr>
      <w:tr w:rsidR="0010769B" w:rsidRPr="0080502C" w:rsidTr="0010769B">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 xml:space="preserve">Toplam Sabit Sermaye Yatırımı </w:t>
            </w:r>
            <w:r w:rsidRPr="0080502C">
              <w:rPr>
                <w:rFonts w:ascii="Arial" w:hAnsi="Arial" w:cs="Arial"/>
                <w:sz w:val="18"/>
                <w:szCs w:val="16"/>
                <w:vertAlign w:val="superscript"/>
              </w:rPr>
              <w:t>(3)</w:t>
            </w:r>
          </w:p>
        </w:tc>
        <w:tc>
          <w:tcPr>
            <w:tcW w:w="617"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4,5</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-1,8</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4,2</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8,9</w:t>
            </w:r>
          </w:p>
        </w:tc>
        <w:tc>
          <w:tcPr>
            <w:tcW w:w="493"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9,3</w:t>
            </w:r>
          </w:p>
        </w:tc>
      </w:tr>
      <w:tr w:rsidR="0010769B" w:rsidRPr="0080502C" w:rsidTr="0010769B">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 xml:space="preserve">   Kamu</w:t>
            </w:r>
          </w:p>
        </w:tc>
        <w:tc>
          <w:tcPr>
            <w:tcW w:w="617"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20,7</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-0,9</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-2,1</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7,2</w:t>
            </w:r>
          </w:p>
        </w:tc>
        <w:tc>
          <w:tcPr>
            <w:tcW w:w="493"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3,3</w:t>
            </w:r>
          </w:p>
        </w:tc>
      </w:tr>
      <w:tr w:rsidR="005D762D" w:rsidRPr="0080502C" w:rsidTr="005D762D">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 xml:space="preserve">   Özel</w:t>
            </w:r>
          </w:p>
        </w:tc>
        <w:tc>
          <w:tcPr>
            <w:tcW w:w="617"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0,7</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-2,1</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6,1</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9,3</w:t>
            </w:r>
          </w:p>
        </w:tc>
        <w:tc>
          <w:tcPr>
            <w:tcW w:w="493"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10,9</w:t>
            </w:r>
          </w:p>
        </w:tc>
      </w:tr>
      <w:tr w:rsidR="0010769B" w:rsidRPr="0080502C" w:rsidTr="0010769B">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 xml:space="preserve">Toplam Yurtiçi Tasarruf / GSYH </w:t>
            </w:r>
          </w:p>
        </w:tc>
        <w:tc>
          <w:tcPr>
            <w:tcW w:w="617"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13,4</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14,9</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15,2</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16,2</w:t>
            </w:r>
          </w:p>
        </w:tc>
        <w:tc>
          <w:tcPr>
            <w:tcW w:w="493"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17,1</w:t>
            </w:r>
          </w:p>
        </w:tc>
      </w:tr>
      <w:tr w:rsidR="0010769B" w:rsidRPr="0080502C" w:rsidTr="0010769B">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 xml:space="preserve">   Kamu</w:t>
            </w:r>
          </w:p>
        </w:tc>
        <w:tc>
          <w:tcPr>
            <w:tcW w:w="617"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3,4</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3,2</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3,1</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3,6</w:t>
            </w:r>
          </w:p>
        </w:tc>
        <w:tc>
          <w:tcPr>
            <w:tcW w:w="493"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4,0</w:t>
            </w:r>
          </w:p>
        </w:tc>
      </w:tr>
      <w:tr w:rsidR="0010769B" w:rsidRPr="0080502C" w:rsidTr="0010769B">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 xml:space="preserve">   Özel</w:t>
            </w:r>
          </w:p>
        </w:tc>
        <w:tc>
          <w:tcPr>
            <w:tcW w:w="617"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9,9</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11,7</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12,2</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12,6</w:t>
            </w:r>
          </w:p>
        </w:tc>
        <w:tc>
          <w:tcPr>
            <w:tcW w:w="493"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13,1</w:t>
            </w:r>
          </w:p>
        </w:tc>
      </w:tr>
      <w:tr w:rsidR="005D762D" w:rsidRPr="0080502C" w:rsidTr="005D762D">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 xml:space="preserve">Toplam Tasarruf -Yatırım Farkı / GSYH </w:t>
            </w:r>
            <w:r w:rsidRPr="0080502C">
              <w:rPr>
                <w:rFonts w:ascii="Arial" w:hAnsi="Arial" w:cs="Arial"/>
                <w:sz w:val="18"/>
                <w:szCs w:val="16"/>
                <w:vertAlign w:val="superscript"/>
              </w:rPr>
              <w:t>(4)</w:t>
            </w:r>
          </w:p>
        </w:tc>
        <w:tc>
          <w:tcPr>
            <w:tcW w:w="617"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-7,6</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-5,7</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-5,4</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-5,4</w:t>
            </w:r>
          </w:p>
        </w:tc>
        <w:tc>
          <w:tcPr>
            <w:tcW w:w="493"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-5,2</w:t>
            </w:r>
          </w:p>
        </w:tc>
      </w:tr>
      <w:tr w:rsidR="005D762D" w:rsidRPr="0080502C" w:rsidTr="005D762D">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 xml:space="preserve">   Kamu </w:t>
            </w:r>
          </w:p>
        </w:tc>
        <w:tc>
          <w:tcPr>
            <w:tcW w:w="617"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-1,5</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-1,6</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-1,4</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-1,1</w:t>
            </w:r>
          </w:p>
        </w:tc>
        <w:tc>
          <w:tcPr>
            <w:tcW w:w="493"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-0,6</w:t>
            </w:r>
          </w:p>
        </w:tc>
      </w:tr>
      <w:tr w:rsidR="005D762D" w:rsidRPr="0080502C" w:rsidTr="005D762D">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 xml:space="preserve">   Özel </w:t>
            </w:r>
          </w:p>
        </w:tc>
        <w:tc>
          <w:tcPr>
            <w:tcW w:w="617"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-6,0</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-4,1</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-4,0</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-4,3</w:t>
            </w:r>
          </w:p>
        </w:tc>
        <w:tc>
          <w:tcPr>
            <w:tcW w:w="493"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-4,6</w:t>
            </w:r>
          </w:p>
        </w:tc>
      </w:tr>
      <w:tr w:rsidR="005D762D" w:rsidRPr="0080502C" w:rsidTr="005D762D">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 xml:space="preserve">Toplam Nihai Yurtiçi Talep </w:t>
            </w:r>
            <w:r w:rsidRPr="0080502C">
              <w:rPr>
                <w:rFonts w:ascii="Arial" w:hAnsi="Arial" w:cs="Arial"/>
                <w:sz w:val="18"/>
                <w:szCs w:val="16"/>
                <w:vertAlign w:val="superscript"/>
              </w:rPr>
              <w:t>(3)</w:t>
            </w:r>
          </w:p>
        </w:tc>
        <w:tc>
          <w:tcPr>
            <w:tcW w:w="617"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5,0</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1,0</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3,9</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5,1</w:t>
            </w:r>
          </w:p>
        </w:tc>
        <w:tc>
          <w:tcPr>
            <w:tcW w:w="493"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5,3</w:t>
            </w:r>
          </w:p>
        </w:tc>
      </w:tr>
      <w:tr w:rsidR="005D762D" w:rsidRPr="0080502C" w:rsidTr="005D762D">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 xml:space="preserve">Toplam Yurtiçi Talep </w:t>
            </w:r>
            <w:r w:rsidRPr="0080502C">
              <w:rPr>
                <w:rFonts w:ascii="Arial" w:hAnsi="Arial" w:cs="Arial"/>
                <w:sz w:val="18"/>
                <w:szCs w:val="16"/>
                <w:vertAlign w:val="superscript"/>
              </w:rPr>
              <w:t>(3)</w:t>
            </w:r>
          </w:p>
        </w:tc>
        <w:tc>
          <w:tcPr>
            <w:tcW w:w="617"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6,7</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1,3</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4,0</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5,2</w:t>
            </w:r>
          </w:p>
        </w:tc>
        <w:tc>
          <w:tcPr>
            <w:tcW w:w="493"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5,0</w:t>
            </w:r>
          </w:p>
        </w:tc>
      </w:tr>
      <w:tr w:rsidR="005D762D" w:rsidRPr="0080502C" w:rsidTr="0010769B">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Net İhracatın Büyümeye Katkısı</w:t>
            </w:r>
          </w:p>
        </w:tc>
        <w:tc>
          <w:tcPr>
            <w:tcW w:w="617"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-2,6</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2,0</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0,0</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-0,2</w:t>
            </w:r>
          </w:p>
        </w:tc>
        <w:tc>
          <w:tcPr>
            <w:tcW w:w="493"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-0,1</w:t>
            </w:r>
          </w:p>
        </w:tc>
      </w:tr>
      <w:tr w:rsidR="005D762D" w:rsidRPr="0080502C" w:rsidTr="005D762D">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b/>
                <w:bCs/>
                <w:sz w:val="18"/>
                <w:szCs w:val="18"/>
              </w:rPr>
              <w:t>İSTİHDAM</w:t>
            </w:r>
          </w:p>
        </w:tc>
        <w:tc>
          <w:tcPr>
            <w:tcW w:w="617" w:type="pct"/>
            <w:vAlign w:val="center"/>
          </w:tcPr>
          <w:p w:rsidR="005D762D" w:rsidRPr="0080502C" w:rsidRDefault="005D762D" w:rsidP="002A41A8">
            <w:pPr>
              <w:spacing w:after="0" w:line="240" w:lineRule="auto"/>
              <w:ind w:hanging="7"/>
              <w:jc w:val="right"/>
              <w:rPr>
                <w:rFonts w:ascii="Arial" w:hAnsi="Arial" w:cs="Arial"/>
                <w:sz w:val="18"/>
                <w:szCs w:val="18"/>
              </w:rPr>
            </w:pP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p>
        </w:tc>
        <w:tc>
          <w:tcPr>
            <w:tcW w:w="493" w:type="pct"/>
            <w:vAlign w:val="center"/>
          </w:tcPr>
          <w:p w:rsidR="005D762D" w:rsidRPr="0080502C" w:rsidRDefault="005D762D" w:rsidP="002A41A8">
            <w:pPr>
              <w:spacing w:after="0" w:line="240" w:lineRule="auto"/>
              <w:ind w:hanging="18"/>
              <w:jc w:val="right"/>
              <w:rPr>
                <w:rFonts w:ascii="Arial" w:hAnsi="Arial" w:cs="Arial"/>
                <w:sz w:val="18"/>
                <w:szCs w:val="18"/>
              </w:rPr>
            </w:pPr>
          </w:p>
        </w:tc>
      </w:tr>
      <w:tr w:rsidR="005D762D" w:rsidRPr="0080502C" w:rsidTr="005D762D">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Nüfus (Yıl Ortası, Bin Kişi)</w:t>
            </w:r>
          </w:p>
        </w:tc>
        <w:tc>
          <w:tcPr>
            <w:tcW w:w="617"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76.055</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76.903</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77.738</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78.559</w:t>
            </w:r>
          </w:p>
        </w:tc>
        <w:tc>
          <w:tcPr>
            <w:tcW w:w="493"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79.366</w:t>
            </w:r>
          </w:p>
        </w:tc>
      </w:tr>
      <w:tr w:rsidR="005D762D" w:rsidRPr="0080502C" w:rsidTr="005D762D">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İşgücüne Katılma Oranı (%)</w:t>
            </w:r>
          </w:p>
        </w:tc>
        <w:tc>
          <w:tcPr>
            <w:tcW w:w="617"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48,3</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50,1</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50,2</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50,3</w:t>
            </w:r>
          </w:p>
        </w:tc>
        <w:tc>
          <w:tcPr>
            <w:tcW w:w="493"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50,5</w:t>
            </w:r>
          </w:p>
        </w:tc>
      </w:tr>
      <w:tr w:rsidR="005D762D" w:rsidRPr="0080502C" w:rsidTr="005D762D">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İstihdam Düzeyi (Bin Kişi)</w:t>
            </w:r>
          </w:p>
        </w:tc>
        <w:tc>
          <w:tcPr>
            <w:tcW w:w="617"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24.601</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25.824</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26.340</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27.002</w:t>
            </w:r>
          </w:p>
        </w:tc>
        <w:tc>
          <w:tcPr>
            <w:tcW w:w="493"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27.599</w:t>
            </w:r>
          </w:p>
        </w:tc>
      </w:tr>
      <w:tr w:rsidR="005D762D" w:rsidRPr="0080502C" w:rsidTr="005D762D">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İstihdam Oranı (%)</w:t>
            </w:r>
          </w:p>
        </w:tc>
        <w:tc>
          <w:tcPr>
            <w:tcW w:w="617"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43,9</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45,3</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45,4</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45,7</w:t>
            </w:r>
          </w:p>
        </w:tc>
        <w:tc>
          <w:tcPr>
            <w:tcW w:w="493"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45,9</w:t>
            </w:r>
          </w:p>
        </w:tc>
      </w:tr>
      <w:tr w:rsidR="005D762D" w:rsidRPr="0080502C" w:rsidTr="005D762D">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İşsizlik Oranı (%)</w:t>
            </w:r>
          </w:p>
        </w:tc>
        <w:tc>
          <w:tcPr>
            <w:tcW w:w="617"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9,0</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9,6</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9,5</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9,2</w:t>
            </w:r>
          </w:p>
        </w:tc>
        <w:tc>
          <w:tcPr>
            <w:tcW w:w="493"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9,1</w:t>
            </w:r>
          </w:p>
        </w:tc>
      </w:tr>
      <w:tr w:rsidR="005D762D" w:rsidRPr="0080502C" w:rsidTr="005D762D">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b/>
                <w:bCs/>
                <w:sz w:val="18"/>
                <w:szCs w:val="18"/>
              </w:rPr>
            </w:pPr>
            <w:r w:rsidRPr="0080502C">
              <w:rPr>
                <w:rFonts w:ascii="Arial" w:hAnsi="Arial" w:cs="Arial"/>
                <w:b/>
                <w:bCs/>
                <w:sz w:val="18"/>
                <w:szCs w:val="18"/>
              </w:rPr>
              <w:t>DIŞ TİCARET</w:t>
            </w:r>
          </w:p>
        </w:tc>
        <w:tc>
          <w:tcPr>
            <w:tcW w:w="617" w:type="pct"/>
            <w:vAlign w:val="center"/>
          </w:tcPr>
          <w:p w:rsidR="005D762D" w:rsidRPr="0080502C" w:rsidRDefault="005D762D" w:rsidP="002A41A8">
            <w:pPr>
              <w:spacing w:after="0" w:line="240" w:lineRule="auto"/>
              <w:ind w:hanging="7"/>
              <w:jc w:val="right"/>
              <w:rPr>
                <w:rFonts w:ascii="Arial" w:hAnsi="Arial" w:cs="Arial"/>
                <w:sz w:val="18"/>
                <w:szCs w:val="18"/>
              </w:rPr>
            </w:pP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p>
        </w:tc>
        <w:tc>
          <w:tcPr>
            <w:tcW w:w="493" w:type="pct"/>
            <w:vAlign w:val="center"/>
          </w:tcPr>
          <w:p w:rsidR="005D762D" w:rsidRPr="0080502C" w:rsidRDefault="005D762D" w:rsidP="002A41A8">
            <w:pPr>
              <w:spacing w:after="0" w:line="240" w:lineRule="auto"/>
              <w:ind w:hanging="18"/>
              <w:jc w:val="right"/>
              <w:rPr>
                <w:rFonts w:ascii="Arial" w:hAnsi="Arial" w:cs="Arial"/>
                <w:sz w:val="18"/>
                <w:szCs w:val="18"/>
              </w:rPr>
            </w:pPr>
          </w:p>
        </w:tc>
      </w:tr>
      <w:tr w:rsidR="005D762D" w:rsidRPr="0080502C" w:rsidTr="005D762D">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İhracat (fob) (Milyar Dolar)</w:t>
            </w:r>
          </w:p>
        </w:tc>
        <w:tc>
          <w:tcPr>
            <w:tcW w:w="617"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151,8</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160,5</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173,0</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187,4</w:t>
            </w:r>
          </w:p>
        </w:tc>
        <w:tc>
          <w:tcPr>
            <w:tcW w:w="493"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203,4</w:t>
            </w:r>
          </w:p>
        </w:tc>
      </w:tr>
      <w:tr w:rsidR="005D762D" w:rsidRPr="0080502C" w:rsidTr="005D762D">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İthalat (cif) (Milyar Dolar)</w:t>
            </w:r>
          </w:p>
        </w:tc>
        <w:tc>
          <w:tcPr>
            <w:tcW w:w="617"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251,7</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244,0</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258,0</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276,8</w:t>
            </w:r>
          </w:p>
        </w:tc>
        <w:tc>
          <w:tcPr>
            <w:tcW w:w="493"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297,5</w:t>
            </w:r>
          </w:p>
        </w:tc>
      </w:tr>
      <w:tr w:rsidR="005D762D" w:rsidRPr="0080502C" w:rsidTr="005D762D">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Ham Petrol Fiyatı-</w:t>
            </w:r>
            <w:proofErr w:type="spellStart"/>
            <w:r w:rsidRPr="0080502C">
              <w:rPr>
                <w:rFonts w:ascii="Arial" w:hAnsi="Arial" w:cs="Arial"/>
                <w:sz w:val="18"/>
                <w:szCs w:val="18"/>
              </w:rPr>
              <w:t>Brent</w:t>
            </w:r>
            <w:proofErr w:type="spellEnd"/>
            <w:r w:rsidRPr="0080502C">
              <w:rPr>
                <w:rFonts w:ascii="Arial" w:hAnsi="Arial" w:cs="Arial"/>
                <w:sz w:val="18"/>
                <w:szCs w:val="18"/>
              </w:rPr>
              <w:t xml:space="preserve"> (Dolar/Varil) </w:t>
            </w:r>
          </w:p>
        </w:tc>
        <w:tc>
          <w:tcPr>
            <w:tcW w:w="617"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109,4</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105,4</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101,9</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100,4</w:t>
            </w:r>
          </w:p>
        </w:tc>
        <w:tc>
          <w:tcPr>
            <w:tcW w:w="493"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98,8</w:t>
            </w:r>
          </w:p>
        </w:tc>
      </w:tr>
      <w:tr w:rsidR="005D762D" w:rsidRPr="0080502C" w:rsidTr="005D762D">
        <w:trPr>
          <w:trHeight w:val="285"/>
        </w:trPr>
        <w:tc>
          <w:tcPr>
            <w:tcW w:w="2273" w:type="pct"/>
            <w:shd w:val="clear" w:color="auto" w:fill="auto"/>
            <w:noWrap/>
            <w:vAlign w:val="center"/>
          </w:tcPr>
          <w:p w:rsidR="005D762D" w:rsidRPr="0080502C" w:rsidRDefault="005D762D" w:rsidP="002A41A8">
            <w:pPr>
              <w:spacing w:after="0" w:line="240" w:lineRule="auto"/>
              <w:ind w:left="142" w:hanging="142"/>
              <w:rPr>
                <w:rFonts w:ascii="Arial" w:hAnsi="Arial" w:cs="Arial"/>
                <w:sz w:val="18"/>
                <w:szCs w:val="18"/>
              </w:rPr>
            </w:pPr>
            <w:r w:rsidRPr="0080502C">
              <w:rPr>
                <w:rFonts w:ascii="Arial" w:hAnsi="Arial" w:cs="Arial"/>
                <w:sz w:val="18"/>
                <w:szCs w:val="18"/>
              </w:rPr>
              <w:t xml:space="preserve"> Enerji İthalatı (Milyar Dolar)</w:t>
            </w:r>
          </w:p>
        </w:tc>
        <w:tc>
          <w:tcPr>
            <w:tcW w:w="617" w:type="pct"/>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55,9</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56,2</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57,3</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60,1</w:t>
            </w:r>
          </w:p>
        </w:tc>
        <w:tc>
          <w:tcPr>
            <w:tcW w:w="493"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63,9</w:t>
            </w:r>
          </w:p>
        </w:tc>
      </w:tr>
      <w:tr w:rsidR="005D762D" w:rsidRPr="0080502C" w:rsidTr="005D762D">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Dış Ticaret Dengesi (Milyar Dolar)</w:t>
            </w:r>
          </w:p>
        </w:tc>
        <w:tc>
          <w:tcPr>
            <w:tcW w:w="617"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-99,9</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-83,5</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-85,0</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-89,4</w:t>
            </w:r>
          </w:p>
        </w:tc>
        <w:tc>
          <w:tcPr>
            <w:tcW w:w="493"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-94,1</w:t>
            </w:r>
          </w:p>
        </w:tc>
      </w:tr>
      <w:tr w:rsidR="005D762D" w:rsidRPr="0080502C" w:rsidTr="005D762D">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İhracat / İthalat (%)</w:t>
            </w:r>
          </w:p>
        </w:tc>
        <w:tc>
          <w:tcPr>
            <w:tcW w:w="617"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60,3</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65,8</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67,1</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67,7</w:t>
            </w:r>
          </w:p>
        </w:tc>
        <w:tc>
          <w:tcPr>
            <w:tcW w:w="493"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68,4</w:t>
            </w:r>
          </w:p>
        </w:tc>
      </w:tr>
      <w:tr w:rsidR="005D762D" w:rsidRPr="0080502C" w:rsidTr="005D762D">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Dış Ticaret Hacmi / GSYH (%)</w:t>
            </w:r>
          </w:p>
        </w:tc>
        <w:tc>
          <w:tcPr>
            <w:tcW w:w="617"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49,1</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49,9</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50,7</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51,2</w:t>
            </w:r>
          </w:p>
        </w:tc>
        <w:tc>
          <w:tcPr>
            <w:tcW w:w="493"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51,6</w:t>
            </w:r>
          </w:p>
        </w:tc>
      </w:tr>
      <w:tr w:rsidR="005D762D" w:rsidRPr="0080502C" w:rsidTr="005D762D">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Turizm Gelirleri (Milyar Dolar)</w:t>
            </w:r>
            <w:r w:rsidRPr="0080502C">
              <w:rPr>
                <w:rFonts w:ascii="Arial" w:hAnsi="Arial" w:cs="Arial"/>
                <w:sz w:val="18"/>
                <w:szCs w:val="16"/>
                <w:vertAlign w:val="superscript"/>
              </w:rPr>
              <w:t xml:space="preserve"> </w:t>
            </w:r>
          </w:p>
        </w:tc>
        <w:tc>
          <w:tcPr>
            <w:tcW w:w="617"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28,0</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29,5</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31,5</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33,5</w:t>
            </w:r>
          </w:p>
        </w:tc>
        <w:tc>
          <w:tcPr>
            <w:tcW w:w="493"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35,5</w:t>
            </w:r>
          </w:p>
        </w:tc>
      </w:tr>
      <w:tr w:rsidR="005D762D" w:rsidRPr="0080502C" w:rsidTr="005D762D">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Cari İşlemler Dengesi (Milyar Dolar)</w:t>
            </w:r>
          </w:p>
        </w:tc>
        <w:tc>
          <w:tcPr>
            <w:tcW w:w="617"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-65,1</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-46,0</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-46,0</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-49,2</w:t>
            </w:r>
          </w:p>
        </w:tc>
        <w:tc>
          <w:tcPr>
            <w:tcW w:w="493"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-50,7</w:t>
            </w:r>
          </w:p>
        </w:tc>
      </w:tr>
      <w:tr w:rsidR="005D762D" w:rsidRPr="0080502C" w:rsidTr="005D762D">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 xml:space="preserve">Cari İşlemler Dengesi / GSYH (%) </w:t>
            </w:r>
            <w:r w:rsidRPr="0080502C">
              <w:rPr>
                <w:rFonts w:ascii="Arial" w:hAnsi="Arial" w:cs="Arial"/>
                <w:sz w:val="18"/>
                <w:szCs w:val="16"/>
                <w:vertAlign w:val="superscript"/>
              </w:rPr>
              <w:t>(4)</w:t>
            </w:r>
          </w:p>
        </w:tc>
        <w:tc>
          <w:tcPr>
            <w:tcW w:w="617"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-7,9</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-5,7</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-5,4</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-5,4</w:t>
            </w:r>
          </w:p>
        </w:tc>
        <w:tc>
          <w:tcPr>
            <w:tcW w:w="493"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-5,2</w:t>
            </w:r>
          </w:p>
        </w:tc>
      </w:tr>
      <w:tr w:rsidR="005D762D" w:rsidRPr="0080502C" w:rsidTr="005D762D">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Altın Hariç Cari İşlemler Dengesi / GSYH (%)</w:t>
            </w:r>
          </w:p>
        </w:tc>
        <w:tc>
          <w:tcPr>
            <w:tcW w:w="617"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-6,5</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-5,6</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-5,1</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-5,1</w:t>
            </w:r>
          </w:p>
        </w:tc>
        <w:tc>
          <w:tcPr>
            <w:tcW w:w="493"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-4,8</w:t>
            </w:r>
          </w:p>
        </w:tc>
      </w:tr>
      <w:tr w:rsidR="005D762D" w:rsidRPr="0080502C" w:rsidTr="005D762D">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b/>
                <w:bCs/>
                <w:sz w:val="18"/>
                <w:szCs w:val="18"/>
              </w:rPr>
            </w:pPr>
            <w:r w:rsidRPr="0080502C">
              <w:rPr>
                <w:rFonts w:ascii="Arial" w:hAnsi="Arial" w:cs="Arial"/>
                <w:b/>
                <w:bCs/>
                <w:sz w:val="18"/>
                <w:szCs w:val="18"/>
              </w:rPr>
              <w:t xml:space="preserve">ENFLASYON   </w:t>
            </w:r>
          </w:p>
        </w:tc>
        <w:tc>
          <w:tcPr>
            <w:tcW w:w="617" w:type="pct"/>
            <w:vAlign w:val="center"/>
          </w:tcPr>
          <w:p w:rsidR="005D762D" w:rsidRPr="0080502C" w:rsidRDefault="005D762D" w:rsidP="002A41A8">
            <w:pPr>
              <w:spacing w:after="0" w:line="240" w:lineRule="auto"/>
              <w:ind w:hanging="7"/>
              <w:jc w:val="right"/>
              <w:rPr>
                <w:rFonts w:ascii="Arial" w:hAnsi="Arial" w:cs="Arial"/>
                <w:sz w:val="18"/>
                <w:szCs w:val="18"/>
              </w:rPr>
            </w:pP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p>
        </w:tc>
        <w:tc>
          <w:tcPr>
            <w:tcW w:w="493" w:type="pct"/>
            <w:vAlign w:val="center"/>
          </w:tcPr>
          <w:p w:rsidR="005D762D" w:rsidRPr="0080502C" w:rsidRDefault="005D762D" w:rsidP="002A41A8">
            <w:pPr>
              <w:spacing w:after="0" w:line="240" w:lineRule="auto"/>
              <w:ind w:hanging="18"/>
              <w:jc w:val="right"/>
              <w:rPr>
                <w:rFonts w:ascii="Arial" w:hAnsi="Arial" w:cs="Arial"/>
                <w:sz w:val="18"/>
                <w:szCs w:val="18"/>
              </w:rPr>
            </w:pPr>
          </w:p>
        </w:tc>
      </w:tr>
      <w:tr w:rsidR="005D762D" w:rsidRPr="0080502C" w:rsidTr="005D762D">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GSYH Deflatörü</w:t>
            </w:r>
          </w:p>
        </w:tc>
        <w:tc>
          <w:tcPr>
            <w:tcW w:w="617"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6,1</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9,1</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6,0</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5,3</w:t>
            </w:r>
          </w:p>
        </w:tc>
        <w:tc>
          <w:tcPr>
            <w:tcW w:w="493"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5,0</w:t>
            </w:r>
          </w:p>
        </w:tc>
      </w:tr>
      <w:tr w:rsidR="005D762D" w:rsidRPr="0080502C" w:rsidTr="005D762D">
        <w:trPr>
          <w:trHeight w:val="285"/>
        </w:trPr>
        <w:tc>
          <w:tcPr>
            <w:tcW w:w="2273" w:type="pct"/>
            <w:shd w:val="clear" w:color="auto" w:fill="auto"/>
            <w:noWrap/>
            <w:vAlign w:val="center"/>
          </w:tcPr>
          <w:p w:rsidR="005D762D" w:rsidRPr="0080502C" w:rsidRDefault="005D762D" w:rsidP="002A41A8">
            <w:pPr>
              <w:spacing w:after="0" w:line="240" w:lineRule="auto"/>
              <w:ind w:firstLine="72"/>
              <w:rPr>
                <w:rFonts w:ascii="Arial" w:hAnsi="Arial" w:cs="Arial"/>
                <w:sz w:val="18"/>
                <w:szCs w:val="18"/>
              </w:rPr>
            </w:pPr>
            <w:r w:rsidRPr="0080502C">
              <w:rPr>
                <w:rFonts w:ascii="Arial" w:hAnsi="Arial" w:cs="Arial"/>
                <w:sz w:val="18"/>
                <w:szCs w:val="18"/>
              </w:rPr>
              <w:t xml:space="preserve">TÜFE Yıl Sonu % Değişme </w:t>
            </w:r>
            <w:r w:rsidRPr="0080502C">
              <w:rPr>
                <w:rFonts w:ascii="Arial" w:hAnsi="Arial" w:cs="Arial"/>
                <w:sz w:val="18"/>
                <w:szCs w:val="16"/>
                <w:vertAlign w:val="superscript"/>
              </w:rPr>
              <w:t>(5)</w:t>
            </w:r>
            <w:r w:rsidRPr="0080502C">
              <w:rPr>
                <w:rFonts w:ascii="Arial" w:hAnsi="Arial" w:cs="Arial"/>
                <w:sz w:val="18"/>
                <w:szCs w:val="18"/>
              </w:rPr>
              <w:t xml:space="preserve"> </w:t>
            </w:r>
          </w:p>
        </w:tc>
        <w:tc>
          <w:tcPr>
            <w:tcW w:w="617"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7,4</w:t>
            </w:r>
          </w:p>
        </w:tc>
        <w:tc>
          <w:tcPr>
            <w:tcW w:w="539" w:type="pct"/>
            <w:shd w:val="clear" w:color="auto" w:fill="auto"/>
            <w:noWrap/>
            <w:vAlign w:val="center"/>
          </w:tcPr>
          <w:p w:rsidR="005D762D" w:rsidRPr="0080502C" w:rsidRDefault="005D762D" w:rsidP="002A41A8">
            <w:pPr>
              <w:spacing w:after="0" w:line="240" w:lineRule="auto"/>
              <w:ind w:hanging="7"/>
              <w:jc w:val="right"/>
              <w:rPr>
                <w:rFonts w:ascii="Arial" w:hAnsi="Arial" w:cs="Arial"/>
                <w:sz w:val="18"/>
                <w:szCs w:val="18"/>
              </w:rPr>
            </w:pPr>
            <w:r w:rsidRPr="0080502C">
              <w:rPr>
                <w:rFonts w:ascii="Arial" w:hAnsi="Arial" w:cs="Arial"/>
                <w:sz w:val="18"/>
                <w:szCs w:val="18"/>
              </w:rPr>
              <w:t>9,4</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6,3</w:t>
            </w:r>
          </w:p>
        </w:tc>
        <w:tc>
          <w:tcPr>
            <w:tcW w:w="539" w:type="pct"/>
            <w:shd w:val="clear" w:color="auto" w:fill="auto"/>
            <w:noWrap/>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5,0</w:t>
            </w:r>
          </w:p>
        </w:tc>
        <w:tc>
          <w:tcPr>
            <w:tcW w:w="493" w:type="pct"/>
            <w:vAlign w:val="center"/>
          </w:tcPr>
          <w:p w:rsidR="005D762D" w:rsidRPr="0080502C" w:rsidRDefault="005D762D" w:rsidP="002A41A8">
            <w:pPr>
              <w:spacing w:after="0" w:line="240" w:lineRule="auto"/>
              <w:ind w:hanging="18"/>
              <w:jc w:val="right"/>
              <w:rPr>
                <w:rFonts w:ascii="Arial" w:hAnsi="Arial" w:cs="Arial"/>
                <w:sz w:val="18"/>
                <w:szCs w:val="18"/>
              </w:rPr>
            </w:pPr>
            <w:r w:rsidRPr="0080502C">
              <w:rPr>
                <w:rFonts w:ascii="Arial" w:hAnsi="Arial" w:cs="Arial"/>
                <w:sz w:val="18"/>
                <w:szCs w:val="18"/>
              </w:rPr>
              <w:t>5,0</w:t>
            </w:r>
          </w:p>
        </w:tc>
      </w:tr>
    </w:tbl>
    <w:p w:rsidR="005D762D" w:rsidRPr="0080502C" w:rsidRDefault="005D762D" w:rsidP="005D762D">
      <w:pPr>
        <w:spacing w:after="0" w:line="240" w:lineRule="auto"/>
        <w:rPr>
          <w:rFonts w:ascii="Arial" w:hAnsi="Arial" w:cs="Arial"/>
          <w:sz w:val="16"/>
          <w:szCs w:val="12"/>
        </w:rPr>
      </w:pPr>
      <w:r w:rsidRPr="0080502C">
        <w:rPr>
          <w:rFonts w:ascii="Arial" w:hAnsi="Arial" w:cs="Arial"/>
          <w:sz w:val="16"/>
          <w:szCs w:val="12"/>
        </w:rPr>
        <w:t>Not: (1) Gerçekleşme tahmini,  (2) Program, (3) Sabit fiyatlarla yüzde değişimi göstermektedir,</w:t>
      </w:r>
    </w:p>
    <w:p w:rsidR="005D762D" w:rsidRPr="0080502C" w:rsidRDefault="005D762D" w:rsidP="005D762D">
      <w:pPr>
        <w:spacing w:after="0" w:line="240" w:lineRule="auto"/>
        <w:rPr>
          <w:rFonts w:ascii="Arial" w:hAnsi="Arial" w:cs="Arial"/>
          <w:sz w:val="16"/>
          <w:szCs w:val="12"/>
        </w:rPr>
      </w:pPr>
      <w:r w:rsidRPr="0080502C">
        <w:rPr>
          <w:rFonts w:ascii="Arial" w:hAnsi="Arial" w:cs="Arial"/>
          <w:sz w:val="16"/>
          <w:szCs w:val="12"/>
        </w:rPr>
        <w:t>(4) Toplam tasarruf-yatırım farkı ile cari açık arasındaki fark, milli gelir hesaplamalarında ihracat ve ithalat ağırlıklı döviz kuru kullanılmasından kaynaklanmaktadır, (5) 2014 ve 2015 yılı rakamları Kalkınma Bakanlığı tahminidir.</w:t>
      </w:r>
    </w:p>
    <w:p w:rsidR="00CB3159" w:rsidRDefault="00CB3159" w:rsidP="0010769B">
      <w:pPr>
        <w:tabs>
          <w:tab w:val="left" w:pos="567"/>
        </w:tabs>
        <w:spacing w:after="120" w:line="240" w:lineRule="auto"/>
        <w:rPr>
          <w:rFonts w:ascii="Arial" w:hAnsi="Arial" w:cs="Arial"/>
          <w:sz w:val="24"/>
          <w:szCs w:val="24"/>
        </w:rPr>
      </w:pPr>
    </w:p>
    <w:tbl>
      <w:tblPr>
        <w:tblW w:w="9293" w:type="dxa"/>
        <w:tblInd w:w="65" w:type="dxa"/>
        <w:tblCellMar>
          <w:left w:w="70" w:type="dxa"/>
          <w:right w:w="70" w:type="dxa"/>
        </w:tblCellMar>
        <w:tblLook w:val="04A0" w:firstRow="1" w:lastRow="0" w:firstColumn="1" w:lastColumn="0" w:noHBand="0" w:noVBand="1"/>
      </w:tblPr>
      <w:tblGrid>
        <w:gridCol w:w="4116"/>
        <w:gridCol w:w="965"/>
        <w:gridCol w:w="965"/>
        <w:gridCol w:w="1051"/>
        <w:gridCol w:w="1134"/>
        <w:gridCol w:w="1062"/>
      </w:tblGrid>
      <w:tr w:rsidR="00F76DC4" w:rsidRPr="00071923" w:rsidTr="008042B1">
        <w:trPr>
          <w:trHeight w:val="300"/>
        </w:trPr>
        <w:tc>
          <w:tcPr>
            <w:tcW w:w="9293" w:type="dxa"/>
            <w:gridSpan w:val="6"/>
            <w:tcBorders>
              <w:bottom w:val="single" w:sz="12" w:space="0" w:color="auto"/>
            </w:tcBorders>
            <w:shd w:val="clear" w:color="000000" w:fill="FFFFFF"/>
            <w:noWrap/>
            <w:vAlign w:val="bottom"/>
          </w:tcPr>
          <w:p w:rsidR="00F76DC4" w:rsidRPr="00071923" w:rsidRDefault="00F76DC4" w:rsidP="008042B1">
            <w:pPr>
              <w:spacing w:after="0" w:line="240" w:lineRule="auto"/>
              <w:rPr>
                <w:rFonts w:ascii="Arial" w:eastAsia="Times New Roman" w:hAnsi="Arial" w:cs="Arial"/>
                <w:b/>
                <w:bCs/>
                <w:sz w:val="16"/>
                <w:szCs w:val="16"/>
                <w:lang w:eastAsia="tr-TR"/>
              </w:rPr>
            </w:pPr>
            <w:r w:rsidRPr="00071923">
              <w:rPr>
                <w:rFonts w:ascii="Arial" w:hAnsi="Arial" w:cs="Arial"/>
                <w:b/>
              </w:rPr>
              <w:lastRenderedPageBreak/>
              <w:t>Ek Tablo 2: Kamu Kesimi Genel Dengesi (1)</w:t>
            </w:r>
          </w:p>
        </w:tc>
      </w:tr>
      <w:tr w:rsidR="00F76DC4" w:rsidRPr="00071923" w:rsidTr="008042B1">
        <w:trPr>
          <w:trHeight w:val="300"/>
        </w:trPr>
        <w:tc>
          <w:tcPr>
            <w:tcW w:w="4116" w:type="dxa"/>
            <w:tcBorders>
              <w:top w:val="nil"/>
              <w:left w:val="single" w:sz="12" w:space="0" w:color="auto"/>
              <w:bottom w:val="single" w:sz="12" w:space="0" w:color="auto"/>
              <w:right w:val="nil"/>
            </w:tcBorders>
            <w:shd w:val="clear" w:color="000000" w:fill="FFFFFF"/>
            <w:noWrap/>
            <w:vAlign w:val="bottom"/>
            <w:hideMark/>
          </w:tcPr>
          <w:p w:rsidR="00F76DC4" w:rsidRPr="00071923" w:rsidRDefault="00F76DC4" w:rsidP="008042B1">
            <w:pPr>
              <w:spacing w:after="0" w:line="240" w:lineRule="auto"/>
              <w:rPr>
                <w:rFonts w:ascii="Arial" w:eastAsia="Times New Roman" w:hAnsi="Arial" w:cs="Arial"/>
                <w:sz w:val="18"/>
                <w:szCs w:val="18"/>
                <w:lang w:eastAsia="tr-TR"/>
              </w:rPr>
            </w:pPr>
            <w:r w:rsidRPr="00071923">
              <w:rPr>
                <w:rFonts w:ascii="Arial" w:eastAsia="Times New Roman" w:hAnsi="Arial" w:cs="Arial"/>
                <w:sz w:val="18"/>
                <w:szCs w:val="18"/>
                <w:lang w:eastAsia="tr-TR"/>
              </w:rPr>
              <w:t> </w:t>
            </w:r>
          </w:p>
        </w:tc>
        <w:tc>
          <w:tcPr>
            <w:tcW w:w="965" w:type="dxa"/>
            <w:tcBorders>
              <w:left w:val="single" w:sz="4" w:space="0" w:color="auto"/>
              <w:bottom w:val="single" w:sz="12" w:space="0" w:color="auto"/>
              <w:right w:val="single" w:sz="4" w:space="0" w:color="auto"/>
            </w:tcBorders>
            <w:shd w:val="clear" w:color="000000" w:fill="FFFFFF"/>
            <w:noWrap/>
            <w:vAlign w:val="center"/>
            <w:hideMark/>
          </w:tcPr>
          <w:p w:rsidR="00F76DC4" w:rsidRPr="00071923" w:rsidRDefault="00F76DC4" w:rsidP="008042B1">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2013</w:t>
            </w:r>
          </w:p>
        </w:tc>
        <w:tc>
          <w:tcPr>
            <w:tcW w:w="965" w:type="dxa"/>
            <w:tcBorders>
              <w:left w:val="nil"/>
              <w:bottom w:val="single" w:sz="12" w:space="0" w:color="auto"/>
              <w:right w:val="single" w:sz="4" w:space="0" w:color="auto"/>
            </w:tcBorders>
            <w:shd w:val="clear" w:color="000000" w:fill="FFFFFF"/>
            <w:noWrap/>
            <w:vAlign w:val="center"/>
            <w:hideMark/>
          </w:tcPr>
          <w:p w:rsidR="00F76DC4" w:rsidRPr="00071923" w:rsidRDefault="00F76DC4" w:rsidP="008042B1">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w:t>
            </w:r>
            <w:r>
              <w:rPr>
                <w:rFonts w:ascii="Arial" w:eastAsia="Times New Roman" w:hAnsi="Arial" w:cs="Arial"/>
                <w:b/>
                <w:bCs/>
                <w:sz w:val="18"/>
                <w:szCs w:val="18"/>
                <w:lang w:eastAsia="tr-TR"/>
              </w:rPr>
              <w:t>4</w:t>
            </w:r>
            <w:r w:rsidRPr="00071923">
              <w:rPr>
                <w:rFonts w:ascii="Arial" w:eastAsia="Times New Roman" w:hAnsi="Arial" w:cs="Arial"/>
                <w:b/>
                <w:bCs/>
                <w:sz w:val="18"/>
                <w:szCs w:val="18"/>
                <w:lang w:eastAsia="tr-TR"/>
              </w:rPr>
              <w:t xml:space="preserve"> </w:t>
            </w:r>
            <w:r>
              <w:rPr>
                <w:rFonts w:ascii="Arial" w:eastAsia="Times New Roman" w:hAnsi="Arial" w:cs="Arial"/>
                <w:b/>
                <w:bCs/>
                <w:sz w:val="18"/>
                <w:szCs w:val="18"/>
                <w:lang w:eastAsia="tr-TR"/>
              </w:rPr>
              <w:t>(</w:t>
            </w:r>
            <w:r w:rsidRPr="00071923">
              <w:rPr>
                <w:rFonts w:ascii="Arial" w:eastAsia="Times New Roman" w:hAnsi="Arial" w:cs="Arial"/>
                <w:b/>
                <w:bCs/>
                <w:sz w:val="18"/>
                <w:szCs w:val="18"/>
                <w:lang w:eastAsia="tr-TR"/>
              </w:rPr>
              <w:t>GT</w:t>
            </w:r>
            <w:r>
              <w:rPr>
                <w:rFonts w:ascii="Arial" w:eastAsia="Times New Roman" w:hAnsi="Arial" w:cs="Arial"/>
                <w:b/>
                <w:bCs/>
                <w:sz w:val="18"/>
                <w:szCs w:val="18"/>
                <w:lang w:eastAsia="tr-TR"/>
              </w:rPr>
              <w:t>)</w:t>
            </w:r>
          </w:p>
        </w:tc>
        <w:tc>
          <w:tcPr>
            <w:tcW w:w="1051" w:type="dxa"/>
            <w:tcBorders>
              <w:top w:val="nil"/>
              <w:left w:val="nil"/>
              <w:bottom w:val="single" w:sz="12" w:space="0" w:color="auto"/>
              <w:right w:val="single" w:sz="4" w:space="0" w:color="auto"/>
            </w:tcBorders>
            <w:shd w:val="clear" w:color="000000" w:fill="FFFFFF"/>
            <w:noWrap/>
            <w:vAlign w:val="center"/>
            <w:hideMark/>
          </w:tcPr>
          <w:p w:rsidR="00F76DC4" w:rsidRPr="00071923" w:rsidRDefault="00F76DC4" w:rsidP="008042B1">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2015 (P)</w:t>
            </w:r>
          </w:p>
        </w:tc>
        <w:tc>
          <w:tcPr>
            <w:tcW w:w="1134" w:type="dxa"/>
            <w:tcBorders>
              <w:top w:val="nil"/>
              <w:left w:val="nil"/>
              <w:bottom w:val="single" w:sz="12" w:space="0" w:color="auto"/>
              <w:right w:val="single" w:sz="4" w:space="0" w:color="auto"/>
            </w:tcBorders>
            <w:shd w:val="clear" w:color="000000" w:fill="FFFFFF"/>
            <w:noWrap/>
            <w:vAlign w:val="center"/>
            <w:hideMark/>
          </w:tcPr>
          <w:p w:rsidR="00F76DC4" w:rsidRPr="00071923" w:rsidRDefault="00F76DC4" w:rsidP="008042B1">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2016 (P)</w:t>
            </w:r>
          </w:p>
        </w:tc>
        <w:tc>
          <w:tcPr>
            <w:tcW w:w="1062" w:type="dxa"/>
            <w:tcBorders>
              <w:top w:val="nil"/>
              <w:left w:val="nil"/>
              <w:bottom w:val="single" w:sz="12" w:space="0" w:color="auto"/>
              <w:right w:val="single" w:sz="12" w:space="0" w:color="auto"/>
            </w:tcBorders>
            <w:shd w:val="clear" w:color="000000" w:fill="FFFFFF"/>
            <w:noWrap/>
            <w:vAlign w:val="center"/>
            <w:hideMark/>
          </w:tcPr>
          <w:p w:rsidR="00F76DC4" w:rsidRPr="00071923" w:rsidRDefault="00F76DC4" w:rsidP="008042B1">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2017 (P)</w:t>
            </w:r>
          </w:p>
        </w:tc>
      </w:tr>
      <w:tr w:rsidR="00F76DC4" w:rsidRPr="00071923" w:rsidTr="008042B1">
        <w:trPr>
          <w:trHeight w:val="300"/>
        </w:trPr>
        <w:tc>
          <w:tcPr>
            <w:tcW w:w="4116" w:type="dxa"/>
            <w:tcBorders>
              <w:top w:val="single" w:sz="12" w:space="0" w:color="auto"/>
              <w:left w:val="single" w:sz="12" w:space="0" w:color="auto"/>
              <w:bottom w:val="single" w:sz="4" w:space="0" w:color="auto"/>
              <w:right w:val="single" w:sz="4" w:space="0" w:color="auto"/>
            </w:tcBorders>
            <w:shd w:val="clear" w:color="000000" w:fill="FFFFFF"/>
            <w:noWrap/>
            <w:vAlign w:val="bottom"/>
          </w:tcPr>
          <w:p w:rsidR="00F76DC4" w:rsidRPr="00071923" w:rsidRDefault="00F76DC4" w:rsidP="008042B1">
            <w:pPr>
              <w:spacing w:after="0" w:line="240" w:lineRule="auto"/>
              <w:rPr>
                <w:rFonts w:ascii="Arial" w:eastAsia="Times New Roman" w:hAnsi="Arial" w:cs="Arial"/>
                <w:b/>
                <w:bCs/>
                <w:color w:val="000000"/>
                <w:sz w:val="18"/>
                <w:szCs w:val="18"/>
                <w:lang w:eastAsia="tr-TR"/>
              </w:rPr>
            </w:pPr>
          </w:p>
        </w:tc>
        <w:tc>
          <w:tcPr>
            <w:tcW w:w="5177" w:type="dxa"/>
            <w:gridSpan w:val="5"/>
            <w:tcBorders>
              <w:top w:val="single" w:sz="12" w:space="0" w:color="auto"/>
              <w:left w:val="single" w:sz="4" w:space="0" w:color="auto"/>
              <w:bottom w:val="single" w:sz="4" w:space="0" w:color="auto"/>
              <w:right w:val="single" w:sz="12" w:space="0" w:color="auto"/>
            </w:tcBorders>
            <w:shd w:val="clear" w:color="000000" w:fill="FFFFFF"/>
            <w:noWrap/>
            <w:vAlign w:val="center"/>
          </w:tcPr>
          <w:p w:rsidR="00F76DC4" w:rsidRPr="00071923" w:rsidRDefault="00F76DC4" w:rsidP="008042B1">
            <w:pPr>
              <w:spacing w:after="0" w:line="240" w:lineRule="auto"/>
              <w:jc w:val="center"/>
              <w:rPr>
                <w:rFonts w:ascii="Arial" w:eastAsia="Times New Roman" w:hAnsi="Arial" w:cs="Arial"/>
                <w:bCs/>
                <w:sz w:val="18"/>
                <w:szCs w:val="18"/>
                <w:lang w:eastAsia="tr-TR"/>
              </w:rPr>
            </w:pPr>
            <w:r w:rsidRPr="00071923">
              <w:rPr>
                <w:rFonts w:ascii="Arial" w:eastAsia="Times New Roman" w:hAnsi="Arial" w:cs="Arial"/>
                <w:bCs/>
                <w:sz w:val="18"/>
                <w:szCs w:val="18"/>
                <w:lang w:eastAsia="tr-TR"/>
              </w:rPr>
              <w:t>(Milyar TL)</w:t>
            </w:r>
          </w:p>
        </w:tc>
      </w:tr>
      <w:tr w:rsidR="00F76DC4" w:rsidRPr="00071923" w:rsidTr="008042B1">
        <w:trPr>
          <w:trHeight w:val="300"/>
        </w:trPr>
        <w:tc>
          <w:tcPr>
            <w:tcW w:w="4116" w:type="dxa"/>
            <w:tcBorders>
              <w:top w:val="single" w:sz="4" w:space="0" w:color="auto"/>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Kamu Kesimi Genel Dengesi (KKGD)</w:t>
            </w:r>
          </w:p>
        </w:tc>
        <w:tc>
          <w:tcPr>
            <w:tcW w:w="965" w:type="dxa"/>
            <w:tcBorders>
              <w:top w:val="single" w:sz="4" w:space="0" w:color="auto"/>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-7,1</w:t>
            </w:r>
          </w:p>
        </w:tc>
        <w:tc>
          <w:tcPr>
            <w:tcW w:w="965" w:type="dxa"/>
            <w:tcBorders>
              <w:top w:val="single" w:sz="4" w:space="0" w:color="auto"/>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-17,4</w:t>
            </w:r>
          </w:p>
        </w:tc>
        <w:tc>
          <w:tcPr>
            <w:tcW w:w="1051" w:type="dxa"/>
            <w:tcBorders>
              <w:top w:val="single" w:sz="4" w:space="0" w:color="auto"/>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-8,7</w:t>
            </w:r>
          </w:p>
        </w:tc>
        <w:tc>
          <w:tcPr>
            <w:tcW w:w="1134" w:type="dxa"/>
            <w:tcBorders>
              <w:top w:val="single" w:sz="4" w:space="0" w:color="auto"/>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w:t>
            </w:r>
            <w:r>
              <w:rPr>
                <w:rFonts w:ascii="Arial" w:eastAsia="Times New Roman" w:hAnsi="Arial" w:cs="Arial"/>
                <w:b/>
                <w:bCs/>
                <w:sz w:val="18"/>
                <w:szCs w:val="18"/>
                <w:lang w:eastAsia="tr-TR"/>
              </w:rPr>
              <w:t>2,3</w:t>
            </w:r>
          </w:p>
        </w:tc>
        <w:tc>
          <w:tcPr>
            <w:tcW w:w="1062" w:type="dxa"/>
            <w:tcBorders>
              <w:top w:val="single" w:sz="4" w:space="0" w:color="auto"/>
              <w:left w:val="nil"/>
              <w:bottom w:val="nil"/>
              <w:right w:val="single" w:sz="12"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2,</w:t>
            </w:r>
            <w:r>
              <w:rPr>
                <w:rFonts w:ascii="Arial" w:eastAsia="Times New Roman" w:hAnsi="Arial" w:cs="Arial"/>
                <w:b/>
                <w:bCs/>
                <w:sz w:val="18"/>
                <w:szCs w:val="18"/>
                <w:lang w:eastAsia="tr-TR"/>
              </w:rPr>
              <w:t>9</w:t>
            </w:r>
          </w:p>
        </w:tc>
      </w:tr>
      <w:tr w:rsidR="00F76DC4" w:rsidRPr="00071923" w:rsidTr="008042B1">
        <w:trPr>
          <w:trHeight w:val="300"/>
        </w:trPr>
        <w:tc>
          <w:tcPr>
            <w:tcW w:w="4116"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200" w:firstLine="361"/>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Genel Devlet</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-11,7</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-13,7</w:t>
            </w:r>
          </w:p>
        </w:tc>
        <w:tc>
          <w:tcPr>
            <w:tcW w:w="1051"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-8,9</w:t>
            </w:r>
          </w:p>
        </w:tc>
        <w:tc>
          <w:tcPr>
            <w:tcW w:w="1134"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w:t>
            </w:r>
            <w:r>
              <w:rPr>
                <w:rFonts w:ascii="Arial" w:eastAsia="Times New Roman" w:hAnsi="Arial" w:cs="Arial"/>
                <w:b/>
                <w:bCs/>
                <w:sz w:val="18"/>
                <w:szCs w:val="18"/>
                <w:lang w:eastAsia="tr-TR"/>
              </w:rPr>
              <w:t>3,7</w:t>
            </w:r>
          </w:p>
        </w:tc>
        <w:tc>
          <w:tcPr>
            <w:tcW w:w="1062" w:type="dxa"/>
            <w:tcBorders>
              <w:top w:val="nil"/>
              <w:left w:val="nil"/>
              <w:bottom w:val="nil"/>
              <w:right w:val="single" w:sz="12"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Pr>
                <w:rFonts w:ascii="Arial" w:eastAsia="Times New Roman" w:hAnsi="Arial" w:cs="Arial"/>
                <w:b/>
                <w:bCs/>
                <w:sz w:val="18"/>
                <w:szCs w:val="18"/>
                <w:lang w:eastAsia="tr-TR"/>
              </w:rPr>
              <w:t>2,7</w:t>
            </w:r>
          </w:p>
        </w:tc>
      </w:tr>
      <w:tr w:rsidR="00F76DC4" w:rsidRPr="00071923" w:rsidTr="008042B1">
        <w:trPr>
          <w:trHeight w:val="300"/>
        </w:trPr>
        <w:tc>
          <w:tcPr>
            <w:tcW w:w="4116"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Merkezi Yönetim Bütçesi</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-18,5</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-24,4</w:t>
            </w:r>
          </w:p>
        </w:tc>
        <w:tc>
          <w:tcPr>
            <w:tcW w:w="1051"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-21,0</w:t>
            </w:r>
          </w:p>
        </w:tc>
        <w:tc>
          <w:tcPr>
            <w:tcW w:w="1134"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-1</w:t>
            </w:r>
            <w:r>
              <w:rPr>
                <w:rFonts w:ascii="Arial" w:eastAsia="Times New Roman" w:hAnsi="Arial" w:cs="Arial"/>
                <w:bCs/>
                <w:sz w:val="18"/>
                <w:szCs w:val="18"/>
                <w:lang w:eastAsia="tr-TR"/>
              </w:rPr>
              <w:t>5,8</w:t>
            </w:r>
          </w:p>
        </w:tc>
        <w:tc>
          <w:tcPr>
            <w:tcW w:w="1062" w:type="dxa"/>
            <w:tcBorders>
              <w:top w:val="nil"/>
              <w:left w:val="nil"/>
              <w:bottom w:val="nil"/>
              <w:right w:val="single" w:sz="12"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w:t>
            </w:r>
            <w:r>
              <w:rPr>
                <w:rFonts w:ascii="Arial" w:eastAsia="Times New Roman" w:hAnsi="Arial" w:cs="Arial"/>
                <w:bCs/>
                <w:sz w:val="18"/>
                <w:szCs w:val="18"/>
                <w:lang w:eastAsia="tr-TR"/>
              </w:rPr>
              <w:t>7,1</w:t>
            </w:r>
          </w:p>
        </w:tc>
      </w:tr>
      <w:tr w:rsidR="00F76DC4" w:rsidRPr="00071923" w:rsidTr="008042B1">
        <w:trPr>
          <w:trHeight w:val="300"/>
        </w:trPr>
        <w:tc>
          <w:tcPr>
            <w:tcW w:w="4116"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Mahalli İdareler</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-2,3</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-0,1</w:t>
            </w:r>
          </w:p>
        </w:tc>
        <w:tc>
          <w:tcPr>
            <w:tcW w:w="1051"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-2,1</w:t>
            </w:r>
          </w:p>
        </w:tc>
        <w:tc>
          <w:tcPr>
            <w:tcW w:w="1134"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-2,7</w:t>
            </w:r>
          </w:p>
        </w:tc>
        <w:tc>
          <w:tcPr>
            <w:tcW w:w="1062" w:type="dxa"/>
            <w:tcBorders>
              <w:top w:val="nil"/>
              <w:left w:val="nil"/>
              <w:bottom w:val="nil"/>
              <w:right w:val="single" w:sz="12"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-6,8</w:t>
            </w:r>
          </w:p>
        </w:tc>
      </w:tr>
      <w:tr w:rsidR="00F76DC4" w:rsidRPr="00071923" w:rsidTr="008042B1">
        <w:trPr>
          <w:trHeight w:val="300"/>
        </w:trPr>
        <w:tc>
          <w:tcPr>
            <w:tcW w:w="4116"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Bütçe Dışı Fonlar</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-2,6</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-0,3</w:t>
            </w:r>
          </w:p>
        </w:tc>
        <w:tc>
          <w:tcPr>
            <w:tcW w:w="1051"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2,0</w:t>
            </w:r>
          </w:p>
        </w:tc>
        <w:tc>
          <w:tcPr>
            <w:tcW w:w="1134"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2,1</w:t>
            </w:r>
          </w:p>
        </w:tc>
        <w:tc>
          <w:tcPr>
            <w:tcW w:w="1062" w:type="dxa"/>
            <w:tcBorders>
              <w:top w:val="nil"/>
              <w:left w:val="nil"/>
              <w:bottom w:val="nil"/>
              <w:right w:val="single" w:sz="12"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2,1</w:t>
            </w:r>
          </w:p>
        </w:tc>
      </w:tr>
      <w:tr w:rsidR="00F76DC4" w:rsidRPr="00071923" w:rsidTr="008042B1">
        <w:trPr>
          <w:trHeight w:val="300"/>
        </w:trPr>
        <w:tc>
          <w:tcPr>
            <w:tcW w:w="4116"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İşsizlik Sigortası Fonu</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9,2</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10,4</w:t>
            </w:r>
          </w:p>
        </w:tc>
        <w:tc>
          <w:tcPr>
            <w:tcW w:w="1051"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11,3</w:t>
            </w:r>
          </w:p>
        </w:tc>
        <w:tc>
          <w:tcPr>
            <w:tcW w:w="1134"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11,7</w:t>
            </w:r>
          </w:p>
        </w:tc>
        <w:tc>
          <w:tcPr>
            <w:tcW w:w="1062" w:type="dxa"/>
            <w:tcBorders>
              <w:top w:val="nil"/>
              <w:left w:val="nil"/>
              <w:bottom w:val="nil"/>
              <w:right w:val="single" w:sz="12"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13,4</w:t>
            </w:r>
          </w:p>
        </w:tc>
      </w:tr>
      <w:tr w:rsidR="00F76DC4" w:rsidRPr="00071923" w:rsidTr="008042B1">
        <w:trPr>
          <w:trHeight w:val="300"/>
        </w:trPr>
        <w:tc>
          <w:tcPr>
            <w:tcW w:w="4116"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Sosyal Güvenlik Kuruluşları</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-5,1</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-6,4</w:t>
            </w:r>
          </w:p>
        </w:tc>
        <w:tc>
          <w:tcPr>
            <w:tcW w:w="1051"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-10,7</w:t>
            </w:r>
          </w:p>
        </w:tc>
        <w:tc>
          <w:tcPr>
            <w:tcW w:w="1134"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-13,3</w:t>
            </w:r>
          </w:p>
        </w:tc>
        <w:tc>
          <w:tcPr>
            <w:tcW w:w="1062" w:type="dxa"/>
            <w:tcBorders>
              <w:top w:val="nil"/>
              <w:left w:val="nil"/>
              <w:bottom w:val="nil"/>
              <w:right w:val="single" w:sz="12"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-17,3</w:t>
            </w:r>
          </w:p>
        </w:tc>
      </w:tr>
      <w:tr w:rsidR="00F76DC4" w:rsidRPr="00071923" w:rsidTr="008042B1">
        <w:trPr>
          <w:trHeight w:val="300"/>
        </w:trPr>
        <w:tc>
          <w:tcPr>
            <w:tcW w:w="4116"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Genel Sağlık Sigortası</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5,8</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6,4</w:t>
            </w:r>
          </w:p>
        </w:tc>
        <w:tc>
          <w:tcPr>
            <w:tcW w:w="1051"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10,7</w:t>
            </w:r>
          </w:p>
        </w:tc>
        <w:tc>
          <w:tcPr>
            <w:tcW w:w="1134"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13,3</w:t>
            </w:r>
          </w:p>
        </w:tc>
        <w:tc>
          <w:tcPr>
            <w:tcW w:w="1062" w:type="dxa"/>
            <w:tcBorders>
              <w:top w:val="nil"/>
              <w:left w:val="nil"/>
              <w:bottom w:val="nil"/>
              <w:right w:val="single" w:sz="12"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17,3</w:t>
            </w:r>
          </w:p>
        </w:tc>
      </w:tr>
      <w:tr w:rsidR="00F76DC4" w:rsidRPr="00071923" w:rsidTr="008042B1">
        <w:trPr>
          <w:trHeight w:val="300"/>
        </w:trPr>
        <w:tc>
          <w:tcPr>
            <w:tcW w:w="4116"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Döner Sermayeli Kuruluşlar</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1,9</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0,6</w:t>
            </w:r>
          </w:p>
        </w:tc>
        <w:tc>
          <w:tcPr>
            <w:tcW w:w="1051"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0,8</w:t>
            </w:r>
          </w:p>
        </w:tc>
        <w:tc>
          <w:tcPr>
            <w:tcW w:w="1134"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1,0</w:t>
            </w:r>
          </w:p>
        </w:tc>
        <w:tc>
          <w:tcPr>
            <w:tcW w:w="1062" w:type="dxa"/>
            <w:tcBorders>
              <w:top w:val="nil"/>
              <w:left w:val="nil"/>
              <w:bottom w:val="nil"/>
              <w:right w:val="single" w:sz="12"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1,1</w:t>
            </w:r>
          </w:p>
        </w:tc>
      </w:tr>
      <w:tr w:rsidR="00F76DC4" w:rsidRPr="00071923" w:rsidTr="008042B1">
        <w:trPr>
          <w:trHeight w:val="300"/>
        </w:trPr>
        <w:tc>
          <w:tcPr>
            <w:tcW w:w="4116"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200" w:firstLine="361"/>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KİT'ler</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4,5</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-3,7</w:t>
            </w:r>
          </w:p>
        </w:tc>
        <w:tc>
          <w:tcPr>
            <w:tcW w:w="1051"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0,2</w:t>
            </w:r>
          </w:p>
        </w:tc>
        <w:tc>
          <w:tcPr>
            <w:tcW w:w="1134"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1,4</w:t>
            </w:r>
          </w:p>
        </w:tc>
        <w:tc>
          <w:tcPr>
            <w:tcW w:w="1062" w:type="dxa"/>
            <w:tcBorders>
              <w:top w:val="nil"/>
              <w:left w:val="nil"/>
              <w:bottom w:val="nil"/>
              <w:right w:val="single" w:sz="12"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0,2</w:t>
            </w:r>
          </w:p>
        </w:tc>
      </w:tr>
      <w:tr w:rsidR="00F76DC4" w:rsidRPr="00071923" w:rsidTr="008042B1">
        <w:trPr>
          <w:trHeight w:val="300"/>
        </w:trPr>
        <w:tc>
          <w:tcPr>
            <w:tcW w:w="4116" w:type="dxa"/>
            <w:tcBorders>
              <w:top w:val="nil"/>
              <w:left w:val="single" w:sz="12" w:space="0" w:color="auto"/>
              <w:right w:val="single" w:sz="4" w:space="0" w:color="auto"/>
            </w:tcBorders>
            <w:shd w:val="clear" w:color="000000" w:fill="FFFFFF"/>
            <w:noWrap/>
            <w:vAlign w:val="center"/>
            <w:hideMark/>
          </w:tcPr>
          <w:p w:rsidR="00F76DC4" w:rsidRPr="00071923" w:rsidRDefault="00F76DC4" w:rsidP="008042B1">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Faiz Giderleri Hariç KKGD</w:t>
            </w:r>
          </w:p>
        </w:tc>
        <w:tc>
          <w:tcPr>
            <w:tcW w:w="965" w:type="dxa"/>
            <w:tcBorders>
              <w:top w:val="nil"/>
              <w:left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44,7</w:t>
            </w:r>
          </w:p>
        </w:tc>
        <w:tc>
          <w:tcPr>
            <w:tcW w:w="965" w:type="dxa"/>
            <w:tcBorders>
              <w:top w:val="nil"/>
              <w:left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35,1</w:t>
            </w:r>
          </w:p>
        </w:tc>
        <w:tc>
          <w:tcPr>
            <w:tcW w:w="1051" w:type="dxa"/>
            <w:tcBorders>
              <w:top w:val="nil"/>
              <w:left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47,7</w:t>
            </w:r>
          </w:p>
        </w:tc>
        <w:tc>
          <w:tcPr>
            <w:tcW w:w="1134" w:type="dxa"/>
            <w:tcBorders>
              <w:top w:val="nil"/>
              <w:left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5</w:t>
            </w:r>
            <w:r>
              <w:rPr>
                <w:rFonts w:ascii="Arial" w:eastAsia="Times New Roman" w:hAnsi="Arial" w:cs="Arial"/>
                <w:b/>
                <w:bCs/>
                <w:sz w:val="18"/>
                <w:szCs w:val="18"/>
                <w:lang w:eastAsia="tr-TR"/>
              </w:rPr>
              <w:t>4</w:t>
            </w:r>
            <w:r w:rsidRPr="00C32D31">
              <w:rPr>
                <w:rFonts w:ascii="Arial" w:eastAsia="Times New Roman" w:hAnsi="Arial" w:cs="Arial"/>
                <w:b/>
                <w:bCs/>
                <w:sz w:val="18"/>
                <w:szCs w:val="18"/>
                <w:lang w:eastAsia="tr-TR"/>
              </w:rPr>
              <w:t>,</w:t>
            </w:r>
            <w:r>
              <w:rPr>
                <w:rFonts w:ascii="Arial" w:eastAsia="Times New Roman" w:hAnsi="Arial" w:cs="Arial"/>
                <w:b/>
                <w:bCs/>
                <w:sz w:val="18"/>
                <w:szCs w:val="18"/>
                <w:lang w:eastAsia="tr-TR"/>
              </w:rPr>
              <w:t>1</w:t>
            </w:r>
          </w:p>
        </w:tc>
        <w:tc>
          <w:tcPr>
            <w:tcW w:w="1062" w:type="dxa"/>
            <w:tcBorders>
              <w:top w:val="nil"/>
              <w:left w:val="nil"/>
              <w:right w:val="single" w:sz="12"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60,</w:t>
            </w:r>
            <w:r>
              <w:rPr>
                <w:rFonts w:ascii="Arial" w:eastAsia="Times New Roman" w:hAnsi="Arial" w:cs="Arial"/>
                <w:b/>
                <w:bCs/>
                <w:sz w:val="18"/>
                <w:szCs w:val="18"/>
                <w:lang w:eastAsia="tr-TR"/>
              </w:rPr>
              <w:t>9</w:t>
            </w:r>
          </w:p>
        </w:tc>
      </w:tr>
      <w:tr w:rsidR="00F76DC4" w:rsidRPr="00071923" w:rsidTr="008042B1">
        <w:trPr>
          <w:trHeight w:val="300"/>
        </w:trPr>
        <w:tc>
          <w:tcPr>
            <w:tcW w:w="4116" w:type="dxa"/>
            <w:tcBorders>
              <w:top w:val="nil"/>
              <w:left w:val="single" w:sz="12" w:space="0" w:color="auto"/>
              <w:bottom w:val="single" w:sz="12" w:space="0" w:color="auto"/>
              <w:right w:val="single" w:sz="4" w:space="0" w:color="auto"/>
            </w:tcBorders>
            <w:shd w:val="clear" w:color="000000" w:fill="FFFFFF"/>
            <w:noWrap/>
            <w:vAlign w:val="center"/>
            <w:hideMark/>
          </w:tcPr>
          <w:p w:rsidR="00F76DC4" w:rsidRPr="00071923" w:rsidRDefault="00F76DC4" w:rsidP="008042B1">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Faiz Gideri ve Özelleştirme Geliri Hariç KKGD</w:t>
            </w:r>
          </w:p>
        </w:tc>
        <w:tc>
          <w:tcPr>
            <w:tcW w:w="965" w:type="dxa"/>
            <w:tcBorders>
              <w:top w:val="nil"/>
              <w:left w:val="nil"/>
              <w:bottom w:val="single" w:sz="12" w:space="0" w:color="auto"/>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32,0</w:t>
            </w:r>
          </w:p>
        </w:tc>
        <w:tc>
          <w:tcPr>
            <w:tcW w:w="965" w:type="dxa"/>
            <w:tcBorders>
              <w:top w:val="nil"/>
              <w:left w:val="nil"/>
              <w:bottom w:val="single" w:sz="12" w:space="0" w:color="auto"/>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24,5</w:t>
            </w:r>
          </w:p>
        </w:tc>
        <w:tc>
          <w:tcPr>
            <w:tcW w:w="1051" w:type="dxa"/>
            <w:tcBorders>
              <w:top w:val="nil"/>
              <w:left w:val="nil"/>
              <w:bottom w:val="single" w:sz="12" w:space="0" w:color="auto"/>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35,9</w:t>
            </w:r>
          </w:p>
        </w:tc>
        <w:tc>
          <w:tcPr>
            <w:tcW w:w="1134" w:type="dxa"/>
            <w:tcBorders>
              <w:top w:val="nil"/>
              <w:left w:val="nil"/>
              <w:bottom w:val="single" w:sz="12" w:space="0" w:color="auto"/>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4</w:t>
            </w:r>
            <w:r>
              <w:rPr>
                <w:rFonts w:ascii="Arial" w:eastAsia="Times New Roman" w:hAnsi="Arial" w:cs="Arial"/>
                <w:b/>
                <w:bCs/>
                <w:sz w:val="18"/>
                <w:szCs w:val="18"/>
                <w:lang w:eastAsia="tr-TR"/>
              </w:rPr>
              <w:t>4</w:t>
            </w:r>
            <w:r w:rsidRPr="00C32D31">
              <w:rPr>
                <w:rFonts w:ascii="Arial" w:eastAsia="Times New Roman" w:hAnsi="Arial" w:cs="Arial"/>
                <w:b/>
                <w:bCs/>
                <w:sz w:val="18"/>
                <w:szCs w:val="18"/>
                <w:lang w:eastAsia="tr-TR"/>
              </w:rPr>
              <w:t>,</w:t>
            </w:r>
            <w:r>
              <w:rPr>
                <w:rFonts w:ascii="Arial" w:eastAsia="Times New Roman" w:hAnsi="Arial" w:cs="Arial"/>
                <w:b/>
                <w:bCs/>
                <w:sz w:val="18"/>
                <w:szCs w:val="18"/>
                <w:lang w:eastAsia="tr-TR"/>
              </w:rPr>
              <w:t>2</w:t>
            </w:r>
          </w:p>
        </w:tc>
        <w:tc>
          <w:tcPr>
            <w:tcW w:w="1062" w:type="dxa"/>
            <w:tcBorders>
              <w:top w:val="nil"/>
              <w:left w:val="nil"/>
              <w:bottom w:val="single" w:sz="12" w:space="0" w:color="auto"/>
              <w:right w:val="single" w:sz="12"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5</w:t>
            </w:r>
            <w:r>
              <w:rPr>
                <w:rFonts w:ascii="Arial" w:eastAsia="Times New Roman" w:hAnsi="Arial" w:cs="Arial"/>
                <w:b/>
                <w:bCs/>
                <w:sz w:val="18"/>
                <w:szCs w:val="18"/>
                <w:lang w:eastAsia="tr-TR"/>
              </w:rPr>
              <w:t>5</w:t>
            </w:r>
            <w:r w:rsidRPr="00C32D31">
              <w:rPr>
                <w:rFonts w:ascii="Arial" w:eastAsia="Times New Roman" w:hAnsi="Arial" w:cs="Arial"/>
                <w:b/>
                <w:bCs/>
                <w:sz w:val="18"/>
                <w:szCs w:val="18"/>
                <w:lang w:eastAsia="tr-TR"/>
              </w:rPr>
              <w:t>,</w:t>
            </w:r>
            <w:r>
              <w:rPr>
                <w:rFonts w:ascii="Arial" w:eastAsia="Times New Roman" w:hAnsi="Arial" w:cs="Arial"/>
                <w:b/>
                <w:bCs/>
                <w:sz w:val="18"/>
                <w:szCs w:val="18"/>
                <w:lang w:eastAsia="tr-TR"/>
              </w:rPr>
              <w:t>4</w:t>
            </w:r>
          </w:p>
        </w:tc>
      </w:tr>
      <w:tr w:rsidR="00F76DC4" w:rsidRPr="00071923" w:rsidTr="008042B1">
        <w:trPr>
          <w:trHeight w:val="300"/>
        </w:trPr>
        <w:tc>
          <w:tcPr>
            <w:tcW w:w="4116" w:type="dxa"/>
            <w:tcBorders>
              <w:top w:val="single" w:sz="12" w:space="0" w:color="auto"/>
              <w:left w:val="single" w:sz="12" w:space="0" w:color="auto"/>
              <w:bottom w:val="single" w:sz="4" w:space="0" w:color="auto"/>
              <w:right w:val="single" w:sz="4" w:space="0" w:color="auto"/>
            </w:tcBorders>
            <w:shd w:val="clear" w:color="000000" w:fill="FFFFFF"/>
            <w:noWrap/>
            <w:vAlign w:val="bottom"/>
          </w:tcPr>
          <w:p w:rsidR="00F76DC4" w:rsidRPr="00071923" w:rsidRDefault="00F76DC4" w:rsidP="008042B1">
            <w:pPr>
              <w:spacing w:after="0" w:line="240" w:lineRule="auto"/>
              <w:rPr>
                <w:rFonts w:ascii="Arial" w:eastAsia="Times New Roman" w:hAnsi="Arial" w:cs="Arial"/>
                <w:b/>
                <w:bCs/>
                <w:color w:val="000000"/>
                <w:sz w:val="18"/>
                <w:szCs w:val="18"/>
                <w:lang w:eastAsia="tr-TR"/>
              </w:rPr>
            </w:pPr>
          </w:p>
        </w:tc>
        <w:tc>
          <w:tcPr>
            <w:tcW w:w="5177" w:type="dxa"/>
            <w:gridSpan w:val="5"/>
            <w:tcBorders>
              <w:top w:val="single" w:sz="12" w:space="0" w:color="auto"/>
              <w:left w:val="single" w:sz="4" w:space="0" w:color="auto"/>
              <w:bottom w:val="single" w:sz="4" w:space="0" w:color="auto"/>
              <w:right w:val="single" w:sz="12" w:space="0" w:color="auto"/>
            </w:tcBorders>
            <w:shd w:val="clear" w:color="000000" w:fill="FFFFFF"/>
            <w:noWrap/>
            <w:vAlign w:val="center"/>
          </w:tcPr>
          <w:p w:rsidR="00F76DC4" w:rsidRPr="00071923" w:rsidRDefault="00F76DC4" w:rsidP="008042B1">
            <w:pPr>
              <w:spacing w:after="0" w:line="240" w:lineRule="auto"/>
              <w:jc w:val="center"/>
              <w:rPr>
                <w:rFonts w:ascii="Arial" w:eastAsia="Times New Roman" w:hAnsi="Arial" w:cs="Arial"/>
                <w:bCs/>
                <w:sz w:val="18"/>
                <w:szCs w:val="18"/>
                <w:lang w:eastAsia="tr-TR"/>
              </w:rPr>
            </w:pPr>
            <w:r w:rsidRPr="00071923">
              <w:rPr>
                <w:rFonts w:ascii="Arial" w:hAnsi="Arial" w:cs="Arial"/>
                <w:sz w:val="18"/>
                <w:szCs w:val="18"/>
              </w:rPr>
              <w:t>(</w:t>
            </w:r>
            <w:proofErr w:type="spellStart"/>
            <w:r w:rsidRPr="00071923">
              <w:rPr>
                <w:rFonts w:ascii="Arial" w:hAnsi="Arial" w:cs="Arial"/>
                <w:sz w:val="18"/>
                <w:szCs w:val="18"/>
              </w:rPr>
              <w:t>GSYH’ya</w:t>
            </w:r>
            <w:proofErr w:type="spellEnd"/>
            <w:r w:rsidRPr="00071923">
              <w:rPr>
                <w:rFonts w:ascii="Arial" w:hAnsi="Arial" w:cs="Arial"/>
                <w:sz w:val="18"/>
                <w:szCs w:val="18"/>
              </w:rPr>
              <w:t xml:space="preserve"> Oran, Yüzde)</w:t>
            </w:r>
          </w:p>
        </w:tc>
      </w:tr>
      <w:tr w:rsidR="00F76DC4" w:rsidRPr="00071923" w:rsidTr="008042B1">
        <w:trPr>
          <w:trHeight w:val="300"/>
        </w:trPr>
        <w:tc>
          <w:tcPr>
            <w:tcW w:w="4116" w:type="dxa"/>
            <w:tcBorders>
              <w:top w:val="single" w:sz="4" w:space="0" w:color="auto"/>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Kamu Kesimi Genel Dengesi (KKGD)</w:t>
            </w:r>
          </w:p>
        </w:tc>
        <w:tc>
          <w:tcPr>
            <w:tcW w:w="965" w:type="dxa"/>
            <w:tcBorders>
              <w:top w:val="single" w:sz="4" w:space="0" w:color="auto"/>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-0,5</w:t>
            </w:r>
          </w:p>
        </w:tc>
        <w:tc>
          <w:tcPr>
            <w:tcW w:w="965" w:type="dxa"/>
            <w:tcBorders>
              <w:top w:val="single" w:sz="4" w:space="0" w:color="auto"/>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-1,0</w:t>
            </w:r>
          </w:p>
        </w:tc>
        <w:tc>
          <w:tcPr>
            <w:tcW w:w="1051" w:type="dxa"/>
            <w:tcBorders>
              <w:top w:val="single" w:sz="4" w:space="0" w:color="auto"/>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-0,4</w:t>
            </w:r>
          </w:p>
        </w:tc>
        <w:tc>
          <w:tcPr>
            <w:tcW w:w="1134" w:type="dxa"/>
            <w:tcBorders>
              <w:top w:val="single" w:sz="4" w:space="0" w:color="auto"/>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-0,1</w:t>
            </w:r>
          </w:p>
        </w:tc>
        <w:tc>
          <w:tcPr>
            <w:tcW w:w="1062" w:type="dxa"/>
            <w:tcBorders>
              <w:top w:val="single" w:sz="4" w:space="0" w:color="auto"/>
              <w:left w:val="nil"/>
              <w:bottom w:val="nil"/>
              <w:right w:val="single" w:sz="12"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0,1</w:t>
            </w:r>
          </w:p>
        </w:tc>
      </w:tr>
      <w:tr w:rsidR="00F76DC4" w:rsidRPr="00071923" w:rsidTr="008042B1">
        <w:trPr>
          <w:trHeight w:val="300"/>
        </w:trPr>
        <w:tc>
          <w:tcPr>
            <w:tcW w:w="4116"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200" w:firstLine="361"/>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Genel Devlet</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-0,7</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-0,8</w:t>
            </w:r>
          </w:p>
        </w:tc>
        <w:tc>
          <w:tcPr>
            <w:tcW w:w="1051"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-0,5</w:t>
            </w:r>
          </w:p>
        </w:tc>
        <w:tc>
          <w:tcPr>
            <w:tcW w:w="1134"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-0,2</w:t>
            </w:r>
          </w:p>
        </w:tc>
        <w:tc>
          <w:tcPr>
            <w:tcW w:w="1062" w:type="dxa"/>
            <w:tcBorders>
              <w:top w:val="nil"/>
              <w:left w:val="nil"/>
              <w:bottom w:val="nil"/>
              <w:right w:val="single" w:sz="12"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0,1</w:t>
            </w:r>
          </w:p>
        </w:tc>
      </w:tr>
      <w:tr w:rsidR="00F76DC4" w:rsidRPr="00071923" w:rsidTr="008042B1">
        <w:trPr>
          <w:trHeight w:val="300"/>
        </w:trPr>
        <w:tc>
          <w:tcPr>
            <w:tcW w:w="4116"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Merkezi Yönetim Bütçesi</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-1,2</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-1,4</w:t>
            </w:r>
          </w:p>
        </w:tc>
        <w:tc>
          <w:tcPr>
            <w:tcW w:w="1051"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-1,1</w:t>
            </w:r>
          </w:p>
        </w:tc>
        <w:tc>
          <w:tcPr>
            <w:tcW w:w="1134"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w:t>
            </w:r>
            <w:r>
              <w:rPr>
                <w:rFonts w:ascii="Arial" w:eastAsia="Times New Roman" w:hAnsi="Arial" w:cs="Arial"/>
                <w:bCs/>
                <w:sz w:val="18"/>
                <w:szCs w:val="18"/>
                <w:lang w:eastAsia="tr-TR"/>
              </w:rPr>
              <w:t>7</w:t>
            </w:r>
          </w:p>
        </w:tc>
        <w:tc>
          <w:tcPr>
            <w:tcW w:w="1062" w:type="dxa"/>
            <w:tcBorders>
              <w:top w:val="nil"/>
              <w:left w:val="nil"/>
              <w:bottom w:val="nil"/>
              <w:right w:val="single" w:sz="12"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-0,3</w:t>
            </w:r>
          </w:p>
        </w:tc>
      </w:tr>
      <w:tr w:rsidR="00F76DC4" w:rsidRPr="00071923" w:rsidTr="008042B1">
        <w:trPr>
          <w:trHeight w:val="300"/>
        </w:trPr>
        <w:tc>
          <w:tcPr>
            <w:tcW w:w="4116"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Mahalli İdareler</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-0,1</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0,0</w:t>
            </w:r>
          </w:p>
        </w:tc>
        <w:tc>
          <w:tcPr>
            <w:tcW w:w="1051"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-0,1</w:t>
            </w:r>
          </w:p>
        </w:tc>
        <w:tc>
          <w:tcPr>
            <w:tcW w:w="1134"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-0,1</w:t>
            </w:r>
          </w:p>
        </w:tc>
        <w:tc>
          <w:tcPr>
            <w:tcW w:w="1062" w:type="dxa"/>
            <w:tcBorders>
              <w:top w:val="nil"/>
              <w:left w:val="nil"/>
              <w:bottom w:val="nil"/>
              <w:right w:val="single" w:sz="12"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-0,3</w:t>
            </w:r>
          </w:p>
        </w:tc>
      </w:tr>
      <w:tr w:rsidR="00F76DC4" w:rsidRPr="00071923" w:rsidTr="008042B1">
        <w:trPr>
          <w:trHeight w:val="300"/>
        </w:trPr>
        <w:tc>
          <w:tcPr>
            <w:tcW w:w="4116"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Bütçe Dışı Fonlar</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-0,2</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0,0</w:t>
            </w:r>
          </w:p>
        </w:tc>
        <w:tc>
          <w:tcPr>
            <w:tcW w:w="1051"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0,1</w:t>
            </w:r>
          </w:p>
        </w:tc>
        <w:tc>
          <w:tcPr>
            <w:tcW w:w="1134"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0,1</w:t>
            </w:r>
          </w:p>
        </w:tc>
        <w:tc>
          <w:tcPr>
            <w:tcW w:w="1062" w:type="dxa"/>
            <w:tcBorders>
              <w:top w:val="nil"/>
              <w:left w:val="nil"/>
              <w:bottom w:val="nil"/>
              <w:right w:val="single" w:sz="12"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0,1</w:t>
            </w:r>
          </w:p>
        </w:tc>
      </w:tr>
      <w:tr w:rsidR="00F76DC4" w:rsidRPr="00071923" w:rsidTr="008042B1">
        <w:trPr>
          <w:trHeight w:val="300"/>
        </w:trPr>
        <w:tc>
          <w:tcPr>
            <w:tcW w:w="4116"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İşsizlik Sigortası Fonu</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0,6</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0,6</w:t>
            </w:r>
          </w:p>
        </w:tc>
        <w:tc>
          <w:tcPr>
            <w:tcW w:w="1051"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0,6</w:t>
            </w:r>
          </w:p>
        </w:tc>
        <w:tc>
          <w:tcPr>
            <w:tcW w:w="1134"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0,5</w:t>
            </w:r>
          </w:p>
        </w:tc>
        <w:tc>
          <w:tcPr>
            <w:tcW w:w="1062" w:type="dxa"/>
            <w:tcBorders>
              <w:top w:val="nil"/>
              <w:left w:val="nil"/>
              <w:bottom w:val="nil"/>
              <w:right w:val="single" w:sz="12"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0,6</w:t>
            </w:r>
          </w:p>
        </w:tc>
      </w:tr>
      <w:tr w:rsidR="00F76DC4" w:rsidRPr="00071923" w:rsidTr="008042B1">
        <w:trPr>
          <w:trHeight w:val="300"/>
        </w:trPr>
        <w:tc>
          <w:tcPr>
            <w:tcW w:w="4116"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Sosyal Güvenlik Kuruluşları</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-0,3</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-0,4</w:t>
            </w:r>
          </w:p>
        </w:tc>
        <w:tc>
          <w:tcPr>
            <w:tcW w:w="1051"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-0,6</w:t>
            </w:r>
          </w:p>
        </w:tc>
        <w:tc>
          <w:tcPr>
            <w:tcW w:w="1134"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-0,6</w:t>
            </w:r>
          </w:p>
        </w:tc>
        <w:tc>
          <w:tcPr>
            <w:tcW w:w="1062" w:type="dxa"/>
            <w:tcBorders>
              <w:top w:val="nil"/>
              <w:left w:val="nil"/>
              <w:bottom w:val="nil"/>
              <w:right w:val="single" w:sz="12"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-0,7</w:t>
            </w:r>
          </w:p>
        </w:tc>
      </w:tr>
      <w:tr w:rsidR="00F76DC4" w:rsidRPr="00071923" w:rsidTr="008042B1">
        <w:trPr>
          <w:trHeight w:val="300"/>
        </w:trPr>
        <w:tc>
          <w:tcPr>
            <w:tcW w:w="4116"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Genel Sağlık Sigortası</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0,4</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0,4</w:t>
            </w:r>
          </w:p>
        </w:tc>
        <w:tc>
          <w:tcPr>
            <w:tcW w:w="1051"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0,6</w:t>
            </w:r>
          </w:p>
        </w:tc>
        <w:tc>
          <w:tcPr>
            <w:tcW w:w="1134"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0,6</w:t>
            </w:r>
          </w:p>
        </w:tc>
        <w:tc>
          <w:tcPr>
            <w:tcW w:w="1062" w:type="dxa"/>
            <w:tcBorders>
              <w:top w:val="nil"/>
              <w:left w:val="nil"/>
              <w:bottom w:val="nil"/>
              <w:right w:val="single" w:sz="12"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0,7</w:t>
            </w:r>
          </w:p>
        </w:tc>
      </w:tr>
      <w:tr w:rsidR="00F76DC4" w:rsidRPr="00071923" w:rsidTr="008042B1">
        <w:trPr>
          <w:trHeight w:val="300"/>
        </w:trPr>
        <w:tc>
          <w:tcPr>
            <w:tcW w:w="4116"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Döner Sermayeli Kuruluşlar</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0,1</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0,0</w:t>
            </w:r>
          </w:p>
        </w:tc>
        <w:tc>
          <w:tcPr>
            <w:tcW w:w="1051"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0,0</w:t>
            </w:r>
          </w:p>
        </w:tc>
        <w:tc>
          <w:tcPr>
            <w:tcW w:w="1134"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0,0</w:t>
            </w:r>
          </w:p>
        </w:tc>
        <w:tc>
          <w:tcPr>
            <w:tcW w:w="1062" w:type="dxa"/>
            <w:tcBorders>
              <w:top w:val="nil"/>
              <w:left w:val="nil"/>
              <w:bottom w:val="nil"/>
              <w:right w:val="single" w:sz="12"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Cs/>
                <w:sz w:val="18"/>
                <w:szCs w:val="18"/>
                <w:lang w:eastAsia="tr-TR"/>
              </w:rPr>
            </w:pPr>
            <w:r w:rsidRPr="00C32D31">
              <w:rPr>
                <w:rFonts w:ascii="Arial" w:eastAsia="Times New Roman" w:hAnsi="Arial" w:cs="Arial"/>
                <w:bCs/>
                <w:sz w:val="18"/>
                <w:szCs w:val="18"/>
                <w:lang w:eastAsia="tr-TR"/>
              </w:rPr>
              <w:t>0,0</w:t>
            </w:r>
          </w:p>
        </w:tc>
      </w:tr>
      <w:tr w:rsidR="00F76DC4" w:rsidRPr="00071923" w:rsidTr="008042B1">
        <w:trPr>
          <w:trHeight w:val="300"/>
        </w:trPr>
        <w:tc>
          <w:tcPr>
            <w:tcW w:w="4116"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200" w:firstLine="361"/>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Kİ</w:t>
            </w:r>
            <w:r w:rsidRPr="00071923">
              <w:rPr>
                <w:rFonts w:ascii="Arial" w:eastAsia="Times New Roman" w:hAnsi="Arial" w:cs="Arial"/>
                <w:b/>
                <w:bCs/>
                <w:color w:val="000000"/>
                <w:sz w:val="18"/>
                <w:szCs w:val="18"/>
                <w:lang w:eastAsia="tr-TR"/>
              </w:rPr>
              <w:t>T'ler</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0,3</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-0,2</w:t>
            </w:r>
          </w:p>
        </w:tc>
        <w:tc>
          <w:tcPr>
            <w:tcW w:w="1051"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0,0</w:t>
            </w:r>
          </w:p>
        </w:tc>
        <w:tc>
          <w:tcPr>
            <w:tcW w:w="1134"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0,1</w:t>
            </w:r>
          </w:p>
        </w:tc>
        <w:tc>
          <w:tcPr>
            <w:tcW w:w="1062" w:type="dxa"/>
            <w:tcBorders>
              <w:top w:val="nil"/>
              <w:left w:val="nil"/>
              <w:bottom w:val="nil"/>
              <w:right w:val="single" w:sz="12"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0,0</w:t>
            </w:r>
          </w:p>
        </w:tc>
      </w:tr>
      <w:tr w:rsidR="00F76DC4" w:rsidRPr="00071923" w:rsidTr="008042B1">
        <w:trPr>
          <w:trHeight w:val="300"/>
        </w:trPr>
        <w:tc>
          <w:tcPr>
            <w:tcW w:w="4116"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Faiz Giderleri Hariç KKGD</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2,9</w:t>
            </w:r>
          </w:p>
        </w:tc>
        <w:tc>
          <w:tcPr>
            <w:tcW w:w="965"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2,0</w:t>
            </w:r>
          </w:p>
        </w:tc>
        <w:tc>
          <w:tcPr>
            <w:tcW w:w="1051"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2,5</w:t>
            </w:r>
          </w:p>
        </w:tc>
        <w:tc>
          <w:tcPr>
            <w:tcW w:w="1134" w:type="dxa"/>
            <w:tcBorders>
              <w:top w:val="nil"/>
              <w:left w:val="nil"/>
              <w:bottom w:val="nil"/>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2,5</w:t>
            </w:r>
          </w:p>
        </w:tc>
        <w:tc>
          <w:tcPr>
            <w:tcW w:w="1062" w:type="dxa"/>
            <w:tcBorders>
              <w:top w:val="nil"/>
              <w:left w:val="nil"/>
              <w:bottom w:val="nil"/>
              <w:right w:val="single" w:sz="12"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2,</w:t>
            </w:r>
            <w:r>
              <w:rPr>
                <w:rFonts w:ascii="Arial" w:eastAsia="Times New Roman" w:hAnsi="Arial" w:cs="Arial"/>
                <w:b/>
                <w:bCs/>
                <w:sz w:val="18"/>
                <w:szCs w:val="18"/>
                <w:lang w:eastAsia="tr-TR"/>
              </w:rPr>
              <w:t>6</w:t>
            </w:r>
          </w:p>
        </w:tc>
      </w:tr>
      <w:tr w:rsidR="00F76DC4" w:rsidRPr="00071923" w:rsidTr="008042B1">
        <w:trPr>
          <w:trHeight w:val="300"/>
        </w:trPr>
        <w:tc>
          <w:tcPr>
            <w:tcW w:w="4116" w:type="dxa"/>
            <w:tcBorders>
              <w:top w:val="nil"/>
              <w:left w:val="single" w:sz="12" w:space="0" w:color="auto"/>
              <w:bottom w:val="single" w:sz="12" w:space="0" w:color="auto"/>
              <w:right w:val="single" w:sz="4" w:space="0" w:color="auto"/>
            </w:tcBorders>
            <w:shd w:val="clear" w:color="000000" w:fill="FFFFFF"/>
            <w:noWrap/>
            <w:vAlign w:val="center"/>
            <w:hideMark/>
          </w:tcPr>
          <w:p w:rsidR="00F76DC4" w:rsidRPr="00071923" w:rsidRDefault="00F76DC4" w:rsidP="008042B1">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Faiz Gideri ve Özelleştirme Geliri Hariç KKGD</w:t>
            </w:r>
          </w:p>
        </w:tc>
        <w:tc>
          <w:tcPr>
            <w:tcW w:w="965" w:type="dxa"/>
            <w:tcBorders>
              <w:top w:val="nil"/>
              <w:left w:val="nil"/>
              <w:bottom w:val="single" w:sz="12" w:space="0" w:color="auto"/>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2,0</w:t>
            </w:r>
          </w:p>
        </w:tc>
        <w:tc>
          <w:tcPr>
            <w:tcW w:w="965" w:type="dxa"/>
            <w:tcBorders>
              <w:top w:val="nil"/>
              <w:left w:val="nil"/>
              <w:bottom w:val="single" w:sz="12" w:space="0" w:color="auto"/>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1,4</w:t>
            </w:r>
          </w:p>
        </w:tc>
        <w:tc>
          <w:tcPr>
            <w:tcW w:w="1051" w:type="dxa"/>
            <w:tcBorders>
              <w:top w:val="nil"/>
              <w:left w:val="nil"/>
              <w:bottom w:val="single" w:sz="12" w:space="0" w:color="auto"/>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1,8</w:t>
            </w:r>
          </w:p>
        </w:tc>
        <w:tc>
          <w:tcPr>
            <w:tcW w:w="1134" w:type="dxa"/>
            <w:tcBorders>
              <w:top w:val="nil"/>
              <w:left w:val="nil"/>
              <w:bottom w:val="single" w:sz="12" w:space="0" w:color="auto"/>
              <w:right w:val="single" w:sz="4"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2,</w:t>
            </w:r>
            <w:r>
              <w:rPr>
                <w:rFonts w:ascii="Arial" w:eastAsia="Times New Roman" w:hAnsi="Arial" w:cs="Arial"/>
                <w:b/>
                <w:bCs/>
                <w:sz w:val="18"/>
                <w:szCs w:val="18"/>
                <w:lang w:eastAsia="tr-TR"/>
              </w:rPr>
              <w:t>1</w:t>
            </w:r>
          </w:p>
        </w:tc>
        <w:tc>
          <w:tcPr>
            <w:tcW w:w="1062" w:type="dxa"/>
            <w:tcBorders>
              <w:top w:val="nil"/>
              <w:left w:val="nil"/>
              <w:bottom w:val="single" w:sz="12" w:space="0" w:color="auto"/>
              <w:right w:val="single" w:sz="12" w:space="0" w:color="auto"/>
            </w:tcBorders>
            <w:shd w:val="clear" w:color="000000" w:fill="FFFFFF"/>
            <w:noWrap/>
            <w:vAlign w:val="center"/>
            <w:hideMark/>
          </w:tcPr>
          <w:p w:rsidR="00F76DC4" w:rsidRPr="00C32D31" w:rsidRDefault="00F76DC4" w:rsidP="008042B1">
            <w:pPr>
              <w:spacing w:after="0" w:line="240" w:lineRule="auto"/>
              <w:jc w:val="right"/>
              <w:rPr>
                <w:rFonts w:ascii="Arial" w:eastAsia="Times New Roman" w:hAnsi="Arial" w:cs="Arial"/>
                <w:b/>
                <w:bCs/>
                <w:sz w:val="18"/>
                <w:szCs w:val="18"/>
                <w:lang w:eastAsia="tr-TR"/>
              </w:rPr>
            </w:pPr>
            <w:r w:rsidRPr="00C32D31">
              <w:rPr>
                <w:rFonts w:ascii="Arial" w:eastAsia="Times New Roman" w:hAnsi="Arial" w:cs="Arial"/>
                <w:b/>
                <w:bCs/>
                <w:sz w:val="18"/>
                <w:szCs w:val="18"/>
                <w:lang w:eastAsia="tr-TR"/>
              </w:rPr>
              <w:t>2,3</w:t>
            </w:r>
          </w:p>
        </w:tc>
      </w:tr>
    </w:tbl>
    <w:p w:rsidR="00F76DC4" w:rsidRPr="00071923" w:rsidRDefault="00F76DC4" w:rsidP="00F76DC4">
      <w:pPr>
        <w:spacing w:after="0" w:line="240" w:lineRule="auto"/>
        <w:ind w:left="57"/>
        <w:rPr>
          <w:rFonts w:ascii="Arial" w:hAnsi="Arial" w:cs="Arial"/>
          <w:sz w:val="20"/>
        </w:rPr>
      </w:pPr>
      <w:r w:rsidRPr="00071923">
        <w:rPr>
          <w:rFonts w:ascii="Arial" w:hAnsi="Arial" w:cs="Arial"/>
          <w:sz w:val="16"/>
          <w:szCs w:val="18"/>
        </w:rPr>
        <w:t>(1) Kamu kesimi; merkezi yönetim bütçesi kapsamındaki kurum ve kuruluşlar, mahalli idareler, sosyal güvenlik kuruluşları ile GSS, fonlar, döner sermayeler, İşsizlik Sigortası Fonu ve KİT’lerden oluşmaktadır.</w:t>
      </w:r>
    </w:p>
    <w:p w:rsidR="00F76DC4" w:rsidRPr="00471C4A" w:rsidRDefault="00F76DC4" w:rsidP="00F76DC4">
      <w:pPr>
        <w:spacing w:after="0" w:line="240" w:lineRule="auto"/>
        <w:ind w:left="57"/>
        <w:rPr>
          <w:rFonts w:ascii="Arial" w:hAnsi="Arial" w:cs="Arial"/>
          <w:sz w:val="16"/>
          <w:szCs w:val="18"/>
        </w:rPr>
      </w:pPr>
      <w:r w:rsidRPr="00471C4A">
        <w:rPr>
          <w:rFonts w:ascii="Arial" w:hAnsi="Arial" w:cs="Arial"/>
          <w:sz w:val="16"/>
          <w:szCs w:val="18"/>
        </w:rPr>
        <w:t>GT: Gerçekleşme tahmini</w:t>
      </w:r>
    </w:p>
    <w:p w:rsidR="00F76DC4" w:rsidRPr="009756A7" w:rsidRDefault="00F76DC4" w:rsidP="00F76DC4">
      <w:pPr>
        <w:spacing w:after="0" w:line="240" w:lineRule="auto"/>
        <w:ind w:left="57"/>
        <w:rPr>
          <w:rFonts w:ascii="Arial" w:hAnsi="Arial" w:cs="Arial"/>
          <w:sz w:val="16"/>
          <w:szCs w:val="18"/>
        </w:rPr>
      </w:pPr>
      <w:r w:rsidRPr="00471C4A">
        <w:rPr>
          <w:rFonts w:ascii="Arial" w:hAnsi="Arial" w:cs="Arial"/>
          <w:sz w:val="16"/>
          <w:szCs w:val="18"/>
        </w:rPr>
        <w:t>P: Program</w:t>
      </w:r>
    </w:p>
    <w:p w:rsidR="00F76DC4" w:rsidRDefault="00F76DC4" w:rsidP="00F76DC4">
      <w:pPr>
        <w:tabs>
          <w:tab w:val="left" w:pos="567"/>
        </w:tabs>
        <w:spacing w:after="120" w:line="240" w:lineRule="auto"/>
        <w:rPr>
          <w:rFonts w:ascii="Arial" w:hAnsi="Arial" w:cs="Arial"/>
          <w:sz w:val="24"/>
          <w:szCs w:val="24"/>
        </w:rPr>
      </w:pPr>
    </w:p>
    <w:p w:rsidR="00F76DC4" w:rsidRDefault="00F76DC4" w:rsidP="00F76DC4">
      <w:pPr>
        <w:tabs>
          <w:tab w:val="left" w:pos="567"/>
        </w:tabs>
        <w:spacing w:after="120" w:line="240" w:lineRule="auto"/>
        <w:rPr>
          <w:rFonts w:ascii="Arial" w:hAnsi="Arial" w:cs="Arial"/>
          <w:sz w:val="24"/>
          <w:szCs w:val="24"/>
        </w:rPr>
      </w:pPr>
    </w:p>
    <w:p w:rsidR="00F76DC4" w:rsidRDefault="00F76DC4" w:rsidP="00F76DC4">
      <w:pPr>
        <w:tabs>
          <w:tab w:val="left" w:pos="567"/>
        </w:tabs>
        <w:spacing w:after="120" w:line="240" w:lineRule="auto"/>
        <w:rPr>
          <w:rFonts w:ascii="Arial" w:hAnsi="Arial" w:cs="Arial"/>
          <w:sz w:val="24"/>
          <w:szCs w:val="24"/>
        </w:rPr>
      </w:pPr>
    </w:p>
    <w:p w:rsidR="00F76DC4" w:rsidRDefault="00F76DC4" w:rsidP="00F76DC4">
      <w:pPr>
        <w:tabs>
          <w:tab w:val="left" w:pos="567"/>
        </w:tabs>
        <w:spacing w:after="120" w:line="240" w:lineRule="auto"/>
        <w:rPr>
          <w:rFonts w:ascii="Arial" w:hAnsi="Arial" w:cs="Arial"/>
          <w:sz w:val="24"/>
          <w:szCs w:val="24"/>
        </w:rPr>
      </w:pPr>
    </w:p>
    <w:p w:rsidR="00F76DC4" w:rsidRDefault="00F76DC4" w:rsidP="00F76DC4">
      <w:pPr>
        <w:tabs>
          <w:tab w:val="left" w:pos="567"/>
        </w:tabs>
        <w:spacing w:after="120" w:line="240" w:lineRule="auto"/>
        <w:rPr>
          <w:rFonts w:ascii="Arial" w:hAnsi="Arial" w:cs="Arial"/>
          <w:sz w:val="24"/>
          <w:szCs w:val="24"/>
        </w:rPr>
      </w:pPr>
    </w:p>
    <w:p w:rsidR="00F76DC4" w:rsidRDefault="00F76DC4" w:rsidP="00F76DC4">
      <w:pPr>
        <w:tabs>
          <w:tab w:val="left" w:pos="567"/>
        </w:tabs>
        <w:spacing w:after="120" w:line="240" w:lineRule="auto"/>
        <w:rPr>
          <w:rFonts w:ascii="Arial" w:hAnsi="Arial" w:cs="Arial"/>
          <w:sz w:val="24"/>
          <w:szCs w:val="24"/>
        </w:rPr>
      </w:pPr>
    </w:p>
    <w:p w:rsidR="00F76DC4" w:rsidRDefault="00F76DC4" w:rsidP="00F76DC4">
      <w:pPr>
        <w:tabs>
          <w:tab w:val="left" w:pos="567"/>
        </w:tabs>
        <w:spacing w:after="120" w:line="240" w:lineRule="auto"/>
        <w:rPr>
          <w:rFonts w:ascii="Arial" w:hAnsi="Arial" w:cs="Arial"/>
          <w:sz w:val="24"/>
          <w:szCs w:val="24"/>
        </w:rPr>
      </w:pPr>
    </w:p>
    <w:p w:rsidR="00F76DC4" w:rsidRDefault="00F76DC4" w:rsidP="00F76DC4">
      <w:pPr>
        <w:tabs>
          <w:tab w:val="left" w:pos="567"/>
        </w:tabs>
        <w:spacing w:after="120" w:line="240" w:lineRule="auto"/>
        <w:rPr>
          <w:rFonts w:ascii="Arial" w:hAnsi="Arial" w:cs="Arial"/>
          <w:sz w:val="24"/>
          <w:szCs w:val="24"/>
        </w:rPr>
      </w:pPr>
    </w:p>
    <w:p w:rsidR="00F76DC4" w:rsidRDefault="00F76DC4" w:rsidP="00F76DC4">
      <w:pPr>
        <w:tabs>
          <w:tab w:val="left" w:pos="567"/>
        </w:tabs>
        <w:spacing w:after="120" w:line="240" w:lineRule="auto"/>
        <w:rPr>
          <w:rFonts w:ascii="Arial" w:hAnsi="Arial" w:cs="Arial"/>
          <w:sz w:val="24"/>
          <w:szCs w:val="24"/>
        </w:rPr>
      </w:pPr>
    </w:p>
    <w:p w:rsidR="00F76DC4" w:rsidRDefault="00F76DC4" w:rsidP="00F76DC4">
      <w:pPr>
        <w:tabs>
          <w:tab w:val="left" w:pos="567"/>
        </w:tabs>
        <w:spacing w:after="120" w:line="240" w:lineRule="auto"/>
        <w:rPr>
          <w:rFonts w:ascii="Arial" w:hAnsi="Arial" w:cs="Arial"/>
          <w:sz w:val="24"/>
          <w:szCs w:val="24"/>
        </w:rPr>
      </w:pPr>
    </w:p>
    <w:p w:rsidR="00F76DC4" w:rsidRDefault="00F76DC4" w:rsidP="00F76DC4">
      <w:pPr>
        <w:tabs>
          <w:tab w:val="left" w:pos="567"/>
        </w:tabs>
        <w:spacing w:after="120" w:line="240" w:lineRule="auto"/>
        <w:rPr>
          <w:rFonts w:ascii="Arial" w:hAnsi="Arial" w:cs="Arial"/>
          <w:sz w:val="24"/>
          <w:szCs w:val="24"/>
        </w:rPr>
      </w:pPr>
    </w:p>
    <w:p w:rsidR="00F76DC4" w:rsidRDefault="00F76DC4" w:rsidP="00F76DC4">
      <w:pPr>
        <w:tabs>
          <w:tab w:val="left" w:pos="567"/>
        </w:tabs>
        <w:spacing w:after="120" w:line="240" w:lineRule="auto"/>
        <w:rPr>
          <w:rFonts w:ascii="Arial" w:hAnsi="Arial" w:cs="Arial"/>
          <w:sz w:val="24"/>
          <w:szCs w:val="24"/>
        </w:rPr>
      </w:pPr>
    </w:p>
    <w:tbl>
      <w:tblPr>
        <w:tblW w:w="9147" w:type="dxa"/>
        <w:tblInd w:w="65" w:type="dxa"/>
        <w:tblCellMar>
          <w:left w:w="70" w:type="dxa"/>
          <w:right w:w="70" w:type="dxa"/>
        </w:tblCellMar>
        <w:tblLook w:val="04A0" w:firstRow="1" w:lastRow="0" w:firstColumn="1" w:lastColumn="0" w:noHBand="0" w:noVBand="1"/>
      </w:tblPr>
      <w:tblGrid>
        <w:gridCol w:w="3959"/>
        <w:gridCol w:w="962"/>
        <w:gridCol w:w="962"/>
        <w:gridCol w:w="1068"/>
        <w:gridCol w:w="1134"/>
        <w:gridCol w:w="1062"/>
      </w:tblGrid>
      <w:tr w:rsidR="00F76DC4" w:rsidRPr="00071923" w:rsidTr="008042B1">
        <w:trPr>
          <w:trHeight w:val="300"/>
        </w:trPr>
        <w:tc>
          <w:tcPr>
            <w:tcW w:w="9147" w:type="dxa"/>
            <w:gridSpan w:val="6"/>
            <w:tcBorders>
              <w:bottom w:val="single" w:sz="12" w:space="0" w:color="auto"/>
            </w:tcBorders>
            <w:shd w:val="clear" w:color="000000" w:fill="FFFFFF"/>
            <w:noWrap/>
            <w:vAlign w:val="bottom"/>
          </w:tcPr>
          <w:p w:rsidR="00F76DC4" w:rsidRPr="00071923" w:rsidRDefault="00F76DC4" w:rsidP="008042B1">
            <w:pPr>
              <w:spacing w:after="0" w:line="240" w:lineRule="auto"/>
              <w:rPr>
                <w:rFonts w:ascii="Arial" w:eastAsia="Times New Roman" w:hAnsi="Arial" w:cs="Arial"/>
                <w:b/>
                <w:bCs/>
                <w:sz w:val="16"/>
                <w:szCs w:val="16"/>
                <w:lang w:eastAsia="tr-TR"/>
              </w:rPr>
            </w:pPr>
            <w:r w:rsidRPr="00071923">
              <w:rPr>
                <w:rFonts w:ascii="Arial" w:hAnsi="Arial" w:cs="Arial"/>
                <w:b/>
              </w:rPr>
              <w:lastRenderedPageBreak/>
              <w:t>Ek Tablo 3: Program Tanımlı Kamu Kesimi Genel Dengesi (1)</w:t>
            </w:r>
          </w:p>
        </w:tc>
      </w:tr>
      <w:tr w:rsidR="00F76DC4" w:rsidRPr="00071923" w:rsidTr="008042B1">
        <w:trPr>
          <w:trHeight w:val="300"/>
        </w:trPr>
        <w:tc>
          <w:tcPr>
            <w:tcW w:w="3959" w:type="dxa"/>
            <w:tcBorders>
              <w:top w:val="nil"/>
              <w:left w:val="single" w:sz="12" w:space="0" w:color="auto"/>
              <w:bottom w:val="single" w:sz="12" w:space="0" w:color="auto"/>
              <w:right w:val="nil"/>
            </w:tcBorders>
            <w:shd w:val="clear" w:color="000000" w:fill="FFFFFF"/>
            <w:noWrap/>
            <w:vAlign w:val="bottom"/>
            <w:hideMark/>
          </w:tcPr>
          <w:p w:rsidR="00F76DC4" w:rsidRPr="00071923" w:rsidRDefault="00F76DC4" w:rsidP="008042B1">
            <w:pPr>
              <w:spacing w:after="0" w:line="240" w:lineRule="auto"/>
              <w:rPr>
                <w:rFonts w:ascii="Arial" w:eastAsia="Times New Roman" w:hAnsi="Arial" w:cs="Arial"/>
                <w:sz w:val="18"/>
                <w:szCs w:val="18"/>
                <w:lang w:eastAsia="tr-TR"/>
              </w:rPr>
            </w:pPr>
            <w:r w:rsidRPr="00071923">
              <w:rPr>
                <w:rFonts w:ascii="Arial" w:eastAsia="Times New Roman" w:hAnsi="Arial" w:cs="Arial"/>
                <w:sz w:val="18"/>
                <w:szCs w:val="18"/>
                <w:lang w:eastAsia="tr-TR"/>
              </w:rPr>
              <w:t> </w:t>
            </w:r>
          </w:p>
        </w:tc>
        <w:tc>
          <w:tcPr>
            <w:tcW w:w="962" w:type="dxa"/>
            <w:tcBorders>
              <w:top w:val="nil"/>
              <w:left w:val="single" w:sz="4" w:space="0" w:color="auto"/>
              <w:bottom w:val="single" w:sz="12" w:space="0" w:color="auto"/>
              <w:right w:val="single" w:sz="4" w:space="0" w:color="auto"/>
            </w:tcBorders>
            <w:shd w:val="clear" w:color="000000" w:fill="FFFFFF"/>
            <w:noWrap/>
            <w:vAlign w:val="center"/>
            <w:hideMark/>
          </w:tcPr>
          <w:p w:rsidR="00F76DC4" w:rsidRPr="00071923" w:rsidRDefault="00F76DC4" w:rsidP="008042B1">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2013</w:t>
            </w:r>
          </w:p>
        </w:tc>
        <w:tc>
          <w:tcPr>
            <w:tcW w:w="962" w:type="dxa"/>
            <w:tcBorders>
              <w:top w:val="nil"/>
              <w:left w:val="nil"/>
              <w:bottom w:val="single" w:sz="12" w:space="0" w:color="auto"/>
              <w:right w:val="single" w:sz="4" w:space="0" w:color="auto"/>
            </w:tcBorders>
            <w:shd w:val="clear" w:color="000000" w:fill="FFFFFF"/>
            <w:noWrap/>
            <w:vAlign w:val="center"/>
            <w:hideMark/>
          </w:tcPr>
          <w:p w:rsidR="00F76DC4" w:rsidRPr="00071923" w:rsidRDefault="00F76DC4" w:rsidP="008042B1">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w:t>
            </w:r>
            <w:r>
              <w:rPr>
                <w:rFonts w:ascii="Arial" w:eastAsia="Times New Roman" w:hAnsi="Arial" w:cs="Arial"/>
                <w:b/>
                <w:bCs/>
                <w:sz w:val="18"/>
                <w:szCs w:val="18"/>
                <w:lang w:eastAsia="tr-TR"/>
              </w:rPr>
              <w:t>4</w:t>
            </w:r>
            <w:r w:rsidRPr="00071923">
              <w:rPr>
                <w:rFonts w:ascii="Arial" w:eastAsia="Times New Roman" w:hAnsi="Arial" w:cs="Arial"/>
                <w:b/>
                <w:bCs/>
                <w:sz w:val="18"/>
                <w:szCs w:val="18"/>
                <w:lang w:eastAsia="tr-TR"/>
              </w:rPr>
              <w:t xml:space="preserve"> </w:t>
            </w:r>
            <w:r>
              <w:rPr>
                <w:rFonts w:ascii="Arial" w:eastAsia="Times New Roman" w:hAnsi="Arial" w:cs="Arial"/>
                <w:b/>
                <w:bCs/>
                <w:sz w:val="18"/>
                <w:szCs w:val="18"/>
                <w:lang w:eastAsia="tr-TR"/>
              </w:rPr>
              <w:t>(</w:t>
            </w:r>
            <w:r w:rsidRPr="00071923">
              <w:rPr>
                <w:rFonts w:ascii="Arial" w:eastAsia="Times New Roman" w:hAnsi="Arial" w:cs="Arial"/>
                <w:b/>
                <w:bCs/>
                <w:sz w:val="18"/>
                <w:szCs w:val="18"/>
                <w:lang w:eastAsia="tr-TR"/>
              </w:rPr>
              <w:t>GT</w:t>
            </w:r>
            <w:r>
              <w:rPr>
                <w:rFonts w:ascii="Arial" w:eastAsia="Times New Roman" w:hAnsi="Arial" w:cs="Arial"/>
                <w:b/>
                <w:bCs/>
                <w:sz w:val="18"/>
                <w:szCs w:val="18"/>
                <w:lang w:eastAsia="tr-TR"/>
              </w:rPr>
              <w:t>)</w:t>
            </w:r>
          </w:p>
        </w:tc>
        <w:tc>
          <w:tcPr>
            <w:tcW w:w="1068" w:type="dxa"/>
            <w:tcBorders>
              <w:top w:val="single" w:sz="4" w:space="0" w:color="auto"/>
              <w:left w:val="nil"/>
              <w:bottom w:val="single" w:sz="12" w:space="0" w:color="auto"/>
              <w:right w:val="single" w:sz="4" w:space="0" w:color="auto"/>
            </w:tcBorders>
            <w:shd w:val="clear" w:color="000000" w:fill="FFFFFF"/>
            <w:noWrap/>
            <w:vAlign w:val="center"/>
            <w:hideMark/>
          </w:tcPr>
          <w:p w:rsidR="00F76DC4" w:rsidRPr="00071923" w:rsidRDefault="00F76DC4" w:rsidP="008042B1">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w:t>
            </w:r>
            <w:r>
              <w:rPr>
                <w:rFonts w:ascii="Arial" w:eastAsia="Times New Roman" w:hAnsi="Arial" w:cs="Arial"/>
                <w:b/>
                <w:bCs/>
                <w:sz w:val="18"/>
                <w:szCs w:val="18"/>
                <w:lang w:eastAsia="tr-TR"/>
              </w:rPr>
              <w:t>5 (P)</w:t>
            </w:r>
          </w:p>
        </w:tc>
        <w:tc>
          <w:tcPr>
            <w:tcW w:w="1134" w:type="dxa"/>
            <w:tcBorders>
              <w:top w:val="single" w:sz="4" w:space="0" w:color="auto"/>
              <w:left w:val="nil"/>
              <w:bottom w:val="single" w:sz="12" w:space="0" w:color="auto"/>
              <w:right w:val="single" w:sz="4" w:space="0" w:color="auto"/>
            </w:tcBorders>
            <w:shd w:val="clear" w:color="000000" w:fill="FFFFFF"/>
            <w:noWrap/>
            <w:vAlign w:val="center"/>
            <w:hideMark/>
          </w:tcPr>
          <w:p w:rsidR="00F76DC4" w:rsidRPr="00071923" w:rsidRDefault="00F76DC4" w:rsidP="008042B1">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w:t>
            </w:r>
            <w:r>
              <w:rPr>
                <w:rFonts w:ascii="Arial" w:eastAsia="Times New Roman" w:hAnsi="Arial" w:cs="Arial"/>
                <w:b/>
                <w:bCs/>
                <w:sz w:val="18"/>
                <w:szCs w:val="18"/>
                <w:lang w:eastAsia="tr-TR"/>
              </w:rPr>
              <w:t>6 (P)</w:t>
            </w:r>
          </w:p>
        </w:tc>
        <w:tc>
          <w:tcPr>
            <w:tcW w:w="1062" w:type="dxa"/>
            <w:tcBorders>
              <w:top w:val="single" w:sz="4" w:space="0" w:color="auto"/>
              <w:left w:val="nil"/>
              <w:bottom w:val="single" w:sz="12" w:space="0" w:color="auto"/>
              <w:right w:val="single" w:sz="12" w:space="0" w:color="auto"/>
            </w:tcBorders>
            <w:shd w:val="clear" w:color="000000" w:fill="FFFFFF"/>
            <w:noWrap/>
            <w:vAlign w:val="center"/>
            <w:hideMark/>
          </w:tcPr>
          <w:p w:rsidR="00F76DC4" w:rsidRPr="00071923" w:rsidRDefault="00F76DC4" w:rsidP="008042B1">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w:t>
            </w:r>
            <w:r>
              <w:rPr>
                <w:rFonts w:ascii="Arial" w:eastAsia="Times New Roman" w:hAnsi="Arial" w:cs="Arial"/>
                <w:b/>
                <w:bCs/>
                <w:sz w:val="18"/>
                <w:szCs w:val="18"/>
                <w:lang w:eastAsia="tr-TR"/>
              </w:rPr>
              <w:t>7 (P)</w:t>
            </w:r>
          </w:p>
        </w:tc>
      </w:tr>
      <w:tr w:rsidR="00F76DC4" w:rsidRPr="00071923" w:rsidTr="008042B1">
        <w:trPr>
          <w:trHeight w:val="300"/>
        </w:trPr>
        <w:tc>
          <w:tcPr>
            <w:tcW w:w="3959" w:type="dxa"/>
            <w:tcBorders>
              <w:top w:val="single" w:sz="12" w:space="0" w:color="auto"/>
              <w:left w:val="single" w:sz="12" w:space="0" w:color="auto"/>
              <w:bottom w:val="nil"/>
              <w:right w:val="single" w:sz="4" w:space="0" w:color="auto"/>
            </w:tcBorders>
            <w:shd w:val="clear" w:color="000000" w:fill="FFFFFF"/>
            <w:noWrap/>
            <w:vAlign w:val="bottom"/>
          </w:tcPr>
          <w:p w:rsidR="00F76DC4" w:rsidRPr="00071923" w:rsidRDefault="00F76DC4" w:rsidP="008042B1">
            <w:pPr>
              <w:spacing w:after="0" w:line="240" w:lineRule="auto"/>
              <w:rPr>
                <w:rFonts w:ascii="Arial" w:eastAsia="Times New Roman" w:hAnsi="Arial" w:cs="Arial"/>
                <w:b/>
                <w:bCs/>
                <w:color w:val="000000"/>
                <w:sz w:val="18"/>
                <w:szCs w:val="18"/>
                <w:lang w:eastAsia="tr-TR"/>
              </w:rPr>
            </w:pPr>
          </w:p>
        </w:tc>
        <w:tc>
          <w:tcPr>
            <w:tcW w:w="5188" w:type="dxa"/>
            <w:gridSpan w:val="5"/>
            <w:tcBorders>
              <w:top w:val="single" w:sz="12" w:space="0" w:color="auto"/>
              <w:left w:val="nil"/>
              <w:bottom w:val="nil"/>
              <w:right w:val="single" w:sz="12" w:space="0" w:color="auto"/>
            </w:tcBorders>
            <w:shd w:val="clear" w:color="000000" w:fill="FFFFFF"/>
            <w:noWrap/>
            <w:vAlign w:val="center"/>
          </w:tcPr>
          <w:p w:rsidR="00F76DC4" w:rsidRPr="00071923" w:rsidRDefault="00F76DC4" w:rsidP="008042B1">
            <w:pPr>
              <w:spacing w:after="0" w:line="240" w:lineRule="auto"/>
              <w:jc w:val="center"/>
              <w:rPr>
                <w:rFonts w:ascii="Arial" w:eastAsia="Times New Roman" w:hAnsi="Arial" w:cs="Arial"/>
                <w:bCs/>
                <w:sz w:val="18"/>
                <w:szCs w:val="18"/>
                <w:lang w:eastAsia="tr-TR"/>
              </w:rPr>
            </w:pPr>
            <w:r w:rsidRPr="00071923">
              <w:rPr>
                <w:rFonts w:ascii="Arial" w:eastAsia="Times New Roman" w:hAnsi="Arial" w:cs="Arial"/>
                <w:bCs/>
                <w:sz w:val="18"/>
                <w:szCs w:val="18"/>
                <w:lang w:eastAsia="tr-TR"/>
              </w:rPr>
              <w:t>(Milyar TL)</w:t>
            </w:r>
          </w:p>
        </w:tc>
      </w:tr>
      <w:tr w:rsidR="00F76DC4" w:rsidRPr="00071923" w:rsidTr="008042B1">
        <w:trPr>
          <w:trHeight w:hRule="exact" w:val="301"/>
        </w:trPr>
        <w:tc>
          <w:tcPr>
            <w:tcW w:w="3959" w:type="dxa"/>
            <w:tcBorders>
              <w:top w:val="single" w:sz="4" w:space="0" w:color="auto"/>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Kamu Kesimi</w:t>
            </w:r>
          </w:p>
        </w:tc>
        <w:tc>
          <w:tcPr>
            <w:tcW w:w="962" w:type="dxa"/>
            <w:tcBorders>
              <w:top w:val="single" w:sz="4" w:space="0" w:color="auto"/>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
                <w:bCs/>
                <w:color w:val="000000"/>
                <w:sz w:val="18"/>
                <w:szCs w:val="18"/>
                <w:lang w:eastAsia="tr-TR"/>
              </w:rPr>
            </w:pPr>
            <w:r w:rsidRPr="008774E1">
              <w:rPr>
                <w:rFonts w:ascii="Arial" w:eastAsia="Times New Roman" w:hAnsi="Arial" w:cs="Arial"/>
                <w:b/>
                <w:bCs/>
                <w:color w:val="000000"/>
                <w:sz w:val="18"/>
                <w:szCs w:val="18"/>
                <w:lang w:eastAsia="tr-TR"/>
              </w:rPr>
              <w:t>16,3</w:t>
            </w:r>
          </w:p>
        </w:tc>
        <w:tc>
          <w:tcPr>
            <w:tcW w:w="962" w:type="dxa"/>
            <w:tcBorders>
              <w:top w:val="single" w:sz="4" w:space="0" w:color="auto"/>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
                <w:bCs/>
                <w:color w:val="000000"/>
                <w:sz w:val="18"/>
                <w:szCs w:val="18"/>
                <w:lang w:eastAsia="tr-TR"/>
              </w:rPr>
            </w:pPr>
            <w:r w:rsidRPr="008774E1">
              <w:rPr>
                <w:rFonts w:ascii="Arial" w:eastAsia="Times New Roman" w:hAnsi="Arial" w:cs="Arial"/>
                <w:b/>
                <w:bCs/>
                <w:color w:val="000000"/>
                <w:sz w:val="18"/>
                <w:szCs w:val="18"/>
                <w:lang w:eastAsia="tr-TR"/>
              </w:rPr>
              <w:t>6,2</w:t>
            </w:r>
          </w:p>
        </w:tc>
        <w:tc>
          <w:tcPr>
            <w:tcW w:w="1068" w:type="dxa"/>
            <w:tcBorders>
              <w:top w:val="single" w:sz="4" w:space="0" w:color="auto"/>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
                <w:bCs/>
                <w:color w:val="000000"/>
                <w:sz w:val="18"/>
                <w:szCs w:val="18"/>
                <w:lang w:eastAsia="tr-TR"/>
              </w:rPr>
            </w:pPr>
            <w:r w:rsidRPr="008774E1">
              <w:rPr>
                <w:rFonts w:ascii="Arial" w:eastAsia="Times New Roman" w:hAnsi="Arial" w:cs="Arial"/>
                <w:b/>
                <w:bCs/>
                <w:color w:val="000000"/>
                <w:sz w:val="18"/>
                <w:szCs w:val="18"/>
                <w:lang w:eastAsia="tr-TR"/>
              </w:rPr>
              <w:t>23,5</w:t>
            </w:r>
          </w:p>
        </w:tc>
        <w:tc>
          <w:tcPr>
            <w:tcW w:w="1134" w:type="dxa"/>
            <w:tcBorders>
              <w:top w:val="single" w:sz="4" w:space="0" w:color="auto"/>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
                <w:bCs/>
                <w:color w:val="000000"/>
                <w:sz w:val="18"/>
                <w:szCs w:val="18"/>
                <w:lang w:eastAsia="tr-TR"/>
              </w:rPr>
            </w:pPr>
            <w:r w:rsidRPr="008774E1">
              <w:rPr>
                <w:rFonts w:ascii="Arial" w:eastAsia="Times New Roman" w:hAnsi="Arial" w:cs="Arial"/>
                <w:b/>
                <w:bCs/>
                <w:color w:val="000000"/>
                <w:sz w:val="18"/>
                <w:szCs w:val="18"/>
                <w:lang w:eastAsia="tr-TR"/>
              </w:rPr>
              <w:t>32,4</w:t>
            </w:r>
          </w:p>
        </w:tc>
        <w:tc>
          <w:tcPr>
            <w:tcW w:w="1062" w:type="dxa"/>
            <w:tcBorders>
              <w:top w:val="single" w:sz="4" w:space="0" w:color="auto"/>
              <w:left w:val="nil"/>
              <w:bottom w:val="nil"/>
              <w:right w:val="single" w:sz="12"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
                <w:bCs/>
                <w:color w:val="000000"/>
                <w:sz w:val="18"/>
                <w:szCs w:val="18"/>
                <w:lang w:eastAsia="tr-TR"/>
              </w:rPr>
            </w:pPr>
            <w:r w:rsidRPr="008774E1">
              <w:rPr>
                <w:rFonts w:ascii="Arial" w:eastAsia="Times New Roman" w:hAnsi="Arial" w:cs="Arial"/>
                <w:b/>
                <w:bCs/>
                <w:color w:val="000000"/>
                <w:sz w:val="18"/>
                <w:szCs w:val="18"/>
                <w:lang w:eastAsia="tr-TR"/>
              </w:rPr>
              <w:t>42,9</w:t>
            </w:r>
          </w:p>
        </w:tc>
      </w:tr>
      <w:tr w:rsidR="00F76DC4" w:rsidRPr="00071923" w:rsidTr="008042B1">
        <w:trPr>
          <w:trHeight w:hRule="exact" w:val="301"/>
        </w:trPr>
        <w:tc>
          <w:tcPr>
            <w:tcW w:w="3959"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200" w:firstLine="361"/>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Genel Devlet</w:t>
            </w:r>
          </w:p>
        </w:tc>
        <w:tc>
          <w:tcPr>
            <w:tcW w:w="962"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
                <w:bCs/>
                <w:color w:val="000000"/>
                <w:sz w:val="18"/>
                <w:szCs w:val="18"/>
                <w:lang w:eastAsia="tr-TR"/>
              </w:rPr>
            </w:pPr>
            <w:r w:rsidRPr="008774E1">
              <w:rPr>
                <w:rFonts w:ascii="Arial" w:eastAsia="Times New Roman" w:hAnsi="Arial" w:cs="Arial"/>
                <w:b/>
                <w:bCs/>
                <w:color w:val="000000"/>
                <w:sz w:val="18"/>
                <w:szCs w:val="18"/>
                <w:lang w:eastAsia="tr-TR"/>
              </w:rPr>
              <w:t>12,4</w:t>
            </w:r>
          </w:p>
        </w:tc>
        <w:tc>
          <w:tcPr>
            <w:tcW w:w="962"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
                <w:bCs/>
                <w:color w:val="000000"/>
                <w:sz w:val="18"/>
                <w:szCs w:val="18"/>
                <w:lang w:eastAsia="tr-TR"/>
              </w:rPr>
            </w:pPr>
            <w:r w:rsidRPr="008774E1">
              <w:rPr>
                <w:rFonts w:ascii="Arial" w:eastAsia="Times New Roman" w:hAnsi="Arial" w:cs="Arial"/>
                <w:b/>
                <w:bCs/>
                <w:color w:val="000000"/>
                <w:sz w:val="18"/>
                <w:szCs w:val="18"/>
                <w:lang w:eastAsia="tr-TR"/>
              </w:rPr>
              <w:t>10,4</w:t>
            </w:r>
          </w:p>
        </w:tc>
        <w:tc>
          <w:tcPr>
            <w:tcW w:w="1068"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
                <w:bCs/>
                <w:color w:val="000000"/>
                <w:sz w:val="18"/>
                <w:szCs w:val="18"/>
                <w:lang w:eastAsia="tr-TR"/>
              </w:rPr>
            </w:pPr>
            <w:r w:rsidRPr="008774E1">
              <w:rPr>
                <w:rFonts w:ascii="Arial" w:eastAsia="Times New Roman" w:hAnsi="Arial" w:cs="Arial"/>
                <w:b/>
                <w:bCs/>
                <w:color w:val="000000"/>
                <w:sz w:val="18"/>
                <w:szCs w:val="18"/>
                <w:lang w:eastAsia="tr-TR"/>
              </w:rPr>
              <w:t>23,7</w:t>
            </w:r>
          </w:p>
        </w:tc>
        <w:tc>
          <w:tcPr>
            <w:tcW w:w="1134"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
                <w:bCs/>
                <w:color w:val="000000"/>
                <w:sz w:val="18"/>
                <w:szCs w:val="18"/>
                <w:lang w:eastAsia="tr-TR"/>
              </w:rPr>
            </w:pPr>
            <w:r w:rsidRPr="008774E1">
              <w:rPr>
                <w:rFonts w:ascii="Arial" w:eastAsia="Times New Roman" w:hAnsi="Arial" w:cs="Arial"/>
                <w:b/>
                <w:bCs/>
                <w:color w:val="000000"/>
                <w:sz w:val="18"/>
                <w:szCs w:val="18"/>
                <w:lang w:eastAsia="tr-TR"/>
              </w:rPr>
              <w:t>31,3</w:t>
            </w:r>
          </w:p>
        </w:tc>
        <w:tc>
          <w:tcPr>
            <w:tcW w:w="1062" w:type="dxa"/>
            <w:tcBorders>
              <w:top w:val="nil"/>
              <w:left w:val="nil"/>
              <w:bottom w:val="nil"/>
              <w:right w:val="single" w:sz="12"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
                <w:bCs/>
                <w:color w:val="000000"/>
                <w:sz w:val="18"/>
                <w:szCs w:val="18"/>
                <w:lang w:eastAsia="tr-TR"/>
              </w:rPr>
            </w:pPr>
            <w:r w:rsidRPr="008774E1">
              <w:rPr>
                <w:rFonts w:ascii="Arial" w:eastAsia="Times New Roman" w:hAnsi="Arial" w:cs="Arial"/>
                <w:b/>
                <w:bCs/>
                <w:color w:val="000000"/>
                <w:sz w:val="18"/>
                <w:szCs w:val="18"/>
                <w:lang w:eastAsia="tr-TR"/>
              </w:rPr>
              <w:t>42,9</w:t>
            </w:r>
          </w:p>
        </w:tc>
      </w:tr>
      <w:tr w:rsidR="00F76DC4" w:rsidRPr="00071923" w:rsidTr="008042B1">
        <w:trPr>
          <w:trHeight w:hRule="exact" w:val="301"/>
        </w:trPr>
        <w:tc>
          <w:tcPr>
            <w:tcW w:w="3959"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Merkezi Yönetim Bütçesi</w:t>
            </w:r>
          </w:p>
        </w:tc>
        <w:tc>
          <w:tcPr>
            <w:tcW w:w="962"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13,8</w:t>
            </w:r>
          </w:p>
        </w:tc>
        <w:tc>
          <w:tcPr>
            <w:tcW w:w="962"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8,6</w:t>
            </w:r>
          </w:p>
        </w:tc>
        <w:tc>
          <w:tcPr>
            <w:tcW w:w="1068"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20,7</w:t>
            </w:r>
          </w:p>
        </w:tc>
        <w:tc>
          <w:tcPr>
            <w:tcW w:w="1134"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28,1</w:t>
            </w:r>
          </w:p>
        </w:tc>
        <w:tc>
          <w:tcPr>
            <w:tcW w:w="1062" w:type="dxa"/>
            <w:tcBorders>
              <w:top w:val="nil"/>
              <w:left w:val="nil"/>
              <w:bottom w:val="nil"/>
              <w:right w:val="single" w:sz="12"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39,3</w:t>
            </w:r>
          </w:p>
        </w:tc>
      </w:tr>
      <w:tr w:rsidR="00F76DC4" w:rsidRPr="00071923" w:rsidTr="008042B1">
        <w:trPr>
          <w:trHeight w:hRule="exact" w:val="301"/>
        </w:trPr>
        <w:tc>
          <w:tcPr>
            <w:tcW w:w="3959"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Mahalli İdareler</w:t>
            </w:r>
          </w:p>
        </w:tc>
        <w:tc>
          <w:tcPr>
            <w:tcW w:w="962"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-3,3</w:t>
            </w:r>
          </w:p>
        </w:tc>
        <w:tc>
          <w:tcPr>
            <w:tcW w:w="962"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0,8</w:t>
            </w:r>
          </w:p>
        </w:tc>
        <w:tc>
          <w:tcPr>
            <w:tcW w:w="1068"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-3,9</w:t>
            </w:r>
          </w:p>
        </w:tc>
        <w:tc>
          <w:tcPr>
            <w:tcW w:w="1134"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-4,8</w:t>
            </w:r>
          </w:p>
        </w:tc>
        <w:tc>
          <w:tcPr>
            <w:tcW w:w="1062" w:type="dxa"/>
            <w:tcBorders>
              <w:top w:val="nil"/>
              <w:left w:val="nil"/>
              <w:bottom w:val="nil"/>
              <w:right w:val="single" w:sz="12"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-5,5</w:t>
            </w:r>
          </w:p>
        </w:tc>
      </w:tr>
      <w:tr w:rsidR="00F76DC4" w:rsidRPr="00071923" w:rsidTr="008042B1">
        <w:trPr>
          <w:trHeight w:hRule="exact" w:val="301"/>
        </w:trPr>
        <w:tc>
          <w:tcPr>
            <w:tcW w:w="3959"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Bütçe Dışı Fonlar</w:t>
            </w:r>
          </w:p>
        </w:tc>
        <w:tc>
          <w:tcPr>
            <w:tcW w:w="962"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-5,0</w:t>
            </w:r>
          </w:p>
        </w:tc>
        <w:tc>
          <w:tcPr>
            <w:tcW w:w="962"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-3,8</w:t>
            </w:r>
          </w:p>
        </w:tc>
        <w:tc>
          <w:tcPr>
            <w:tcW w:w="1068"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1,9</w:t>
            </w:r>
          </w:p>
        </w:tc>
        <w:tc>
          <w:tcPr>
            <w:tcW w:w="1134"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2,1</w:t>
            </w:r>
          </w:p>
        </w:tc>
        <w:tc>
          <w:tcPr>
            <w:tcW w:w="1062" w:type="dxa"/>
            <w:tcBorders>
              <w:top w:val="nil"/>
              <w:left w:val="nil"/>
              <w:bottom w:val="nil"/>
              <w:right w:val="single" w:sz="12"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2,3</w:t>
            </w:r>
          </w:p>
        </w:tc>
      </w:tr>
      <w:tr w:rsidR="00F76DC4" w:rsidRPr="00071923" w:rsidTr="008042B1">
        <w:trPr>
          <w:trHeight w:hRule="exact" w:val="301"/>
        </w:trPr>
        <w:tc>
          <w:tcPr>
            <w:tcW w:w="3959"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İşsizlik Sigortası Fonu</w:t>
            </w:r>
          </w:p>
        </w:tc>
        <w:tc>
          <w:tcPr>
            <w:tcW w:w="962"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4,5</w:t>
            </w:r>
          </w:p>
        </w:tc>
        <w:tc>
          <w:tcPr>
            <w:tcW w:w="962"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4,3</w:t>
            </w:r>
          </w:p>
        </w:tc>
        <w:tc>
          <w:tcPr>
            <w:tcW w:w="1068"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4,3</w:t>
            </w:r>
          </w:p>
        </w:tc>
        <w:tc>
          <w:tcPr>
            <w:tcW w:w="1134"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5,1</w:t>
            </w:r>
          </w:p>
        </w:tc>
        <w:tc>
          <w:tcPr>
            <w:tcW w:w="1062" w:type="dxa"/>
            <w:tcBorders>
              <w:top w:val="nil"/>
              <w:left w:val="nil"/>
              <w:bottom w:val="nil"/>
              <w:right w:val="single" w:sz="12"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5,9</w:t>
            </w:r>
          </w:p>
        </w:tc>
      </w:tr>
      <w:tr w:rsidR="00F76DC4" w:rsidRPr="00071923" w:rsidTr="008042B1">
        <w:trPr>
          <w:trHeight w:hRule="exact" w:val="301"/>
        </w:trPr>
        <w:tc>
          <w:tcPr>
            <w:tcW w:w="3959"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Sosyal Güvenlik Kuruluşları</w:t>
            </w:r>
          </w:p>
        </w:tc>
        <w:tc>
          <w:tcPr>
            <w:tcW w:w="962"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-5,1</w:t>
            </w:r>
          </w:p>
        </w:tc>
        <w:tc>
          <w:tcPr>
            <w:tcW w:w="962"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-6,4</w:t>
            </w:r>
          </w:p>
        </w:tc>
        <w:tc>
          <w:tcPr>
            <w:tcW w:w="1068"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-10,7</w:t>
            </w:r>
          </w:p>
        </w:tc>
        <w:tc>
          <w:tcPr>
            <w:tcW w:w="1134"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-13,3</w:t>
            </w:r>
          </w:p>
        </w:tc>
        <w:tc>
          <w:tcPr>
            <w:tcW w:w="1062" w:type="dxa"/>
            <w:tcBorders>
              <w:top w:val="nil"/>
              <w:left w:val="nil"/>
              <w:bottom w:val="nil"/>
              <w:right w:val="single" w:sz="12"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-17,3</w:t>
            </w:r>
          </w:p>
        </w:tc>
      </w:tr>
      <w:tr w:rsidR="00F76DC4" w:rsidRPr="00071923" w:rsidTr="008042B1">
        <w:trPr>
          <w:trHeight w:hRule="exact" w:val="301"/>
        </w:trPr>
        <w:tc>
          <w:tcPr>
            <w:tcW w:w="3959"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Genel Sağlık Sigortası</w:t>
            </w:r>
          </w:p>
        </w:tc>
        <w:tc>
          <w:tcPr>
            <w:tcW w:w="962"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5,8</w:t>
            </w:r>
          </w:p>
        </w:tc>
        <w:tc>
          <w:tcPr>
            <w:tcW w:w="962"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6,4</w:t>
            </w:r>
          </w:p>
        </w:tc>
        <w:tc>
          <w:tcPr>
            <w:tcW w:w="1068"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10,7</w:t>
            </w:r>
          </w:p>
        </w:tc>
        <w:tc>
          <w:tcPr>
            <w:tcW w:w="1134"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13,3</w:t>
            </w:r>
          </w:p>
        </w:tc>
        <w:tc>
          <w:tcPr>
            <w:tcW w:w="1062" w:type="dxa"/>
            <w:tcBorders>
              <w:top w:val="nil"/>
              <w:left w:val="nil"/>
              <w:bottom w:val="nil"/>
              <w:right w:val="single" w:sz="12"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17,3</w:t>
            </w:r>
          </w:p>
        </w:tc>
      </w:tr>
      <w:tr w:rsidR="00F76DC4" w:rsidRPr="00071923" w:rsidTr="008042B1">
        <w:trPr>
          <w:trHeight w:hRule="exact" w:val="301"/>
        </w:trPr>
        <w:tc>
          <w:tcPr>
            <w:tcW w:w="3959"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Döner Sermayeli Kuruluşlar</w:t>
            </w:r>
          </w:p>
        </w:tc>
        <w:tc>
          <w:tcPr>
            <w:tcW w:w="962"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1,7</w:t>
            </w:r>
          </w:p>
        </w:tc>
        <w:tc>
          <w:tcPr>
            <w:tcW w:w="962"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0,5</w:t>
            </w:r>
          </w:p>
        </w:tc>
        <w:tc>
          <w:tcPr>
            <w:tcW w:w="1068"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0,7</w:t>
            </w:r>
          </w:p>
        </w:tc>
        <w:tc>
          <w:tcPr>
            <w:tcW w:w="1134" w:type="dxa"/>
            <w:tcBorders>
              <w:top w:val="nil"/>
              <w:left w:val="nil"/>
              <w:bottom w:val="nil"/>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0,8</w:t>
            </w:r>
          </w:p>
        </w:tc>
        <w:tc>
          <w:tcPr>
            <w:tcW w:w="1062" w:type="dxa"/>
            <w:tcBorders>
              <w:top w:val="nil"/>
              <w:left w:val="nil"/>
              <w:bottom w:val="nil"/>
              <w:right w:val="single" w:sz="12"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Cs/>
                <w:color w:val="000000"/>
                <w:sz w:val="18"/>
                <w:szCs w:val="18"/>
                <w:lang w:eastAsia="tr-TR"/>
              </w:rPr>
            </w:pPr>
            <w:r w:rsidRPr="008774E1">
              <w:rPr>
                <w:rFonts w:ascii="Arial" w:eastAsia="Times New Roman" w:hAnsi="Arial" w:cs="Arial"/>
                <w:bCs/>
                <w:color w:val="000000"/>
                <w:sz w:val="18"/>
                <w:szCs w:val="18"/>
                <w:lang w:eastAsia="tr-TR"/>
              </w:rPr>
              <w:t>0,9</w:t>
            </w:r>
          </w:p>
        </w:tc>
      </w:tr>
      <w:tr w:rsidR="00F76DC4" w:rsidRPr="00071923" w:rsidTr="008042B1">
        <w:trPr>
          <w:trHeight w:hRule="exact" w:val="301"/>
        </w:trPr>
        <w:tc>
          <w:tcPr>
            <w:tcW w:w="3959" w:type="dxa"/>
            <w:tcBorders>
              <w:top w:val="nil"/>
              <w:left w:val="single" w:sz="12" w:space="0" w:color="auto"/>
              <w:bottom w:val="single" w:sz="12" w:space="0" w:color="auto"/>
              <w:right w:val="single" w:sz="4" w:space="0" w:color="auto"/>
            </w:tcBorders>
            <w:shd w:val="clear" w:color="000000" w:fill="FFFFFF"/>
            <w:noWrap/>
            <w:vAlign w:val="center"/>
            <w:hideMark/>
          </w:tcPr>
          <w:p w:rsidR="00F76DC4" w:rsidRPr="00071923" w:rsidRDefault="00F76DC4" w:rsidP="008042B1">
            <w:pPr>
              <w:spacing w:after="0" w:line="240" w:lineRule="auto"/>
              <w:ind w:firstLineChars="200" w:firstLine="361"/>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Kİ</w:t>
            </w:r>
            <w:r w:rsidRPr="00071923">
              <w:rPr>
                <w:rFonts w:ascii="Arial" w:eastAsia="Times New Roman" w:hAnsi="Arial" w:cs="Arial"/>
                <w:b/>
                <w:bCs/>
                <w:color w:val="000000"/>
                <w:sz w:val="18"/>
                <w:szCs w:val="18"/>
                <w:lang w:eastAsia="tr-TR"/>
              </w:rPr>
              <w:t>T'ler</w:t>
            </w:r>
          </w:p>
        </w:tc>
        <w:tc>
          <w:tcPr>
            <w:tcW w:w="962" w:type="dxa"/>
            <w:tcBorders>
              <w:top w:val="nil"/>
              <w:left w:val="nil"/>
              <w:bottom w:val="single" w:sz="12" w:space="0" w:color="auto"/>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
                <w:bCs/>
                <w:color w:val="000000"/>
                <w:sz w:val="18"/>
                <w:szCs w:val="18"/>
                <w:lang w:eastAsia="tr-TR"/>
              </w:rPr>
            </w:pPr>
            <w:r w:rsidRPr="008774E1">
              <w:rPr>
                <w:rFonts w:ascii="Arial" w:eastAsia="Times New Roman" w:hAnsi="Arial" w:cs="Arial"/>
                <w:b/>
                <w:bCs/>
                <w:color w:val="000000"/>
                <w:sz w:val="18"/>
                <w:szCs w:val="18"/>
                <w:lang w:eastAsia="tr-TR"/>
              </w:rPr>
              <w:t>3,9</w:t>
            </w:r>
          </w:p>
        </w:tc>
        <w:tc>
          <w:tcPr>
            <w:tcW w:w="962" w:type="dxa"/>
            <w:tcBorders>
              <w:top w:val="nil"/>
              <w:left w:val="nil"/>
              <w:bottom w:val="single" w:sz="12" w:space="0" w:color="auto"/>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
                <w:bCs/>
                <w:color w:val="000000"/>
                <w:sz w:val="18"/>
                <w:szCs w:val="18"/>
                <w:lang w:eastAsia="tr-TR"/>
              </w:rPr>
            </w:pPr>
            <w:r w:rsidRPr="008774E1">
              <w:rPr>
                <w:rFonts w:ascii="Arial" w:eastAsia="Times New Roman" w:hAnsi="Arial" w:cs="Arial"/>
                <w:b/>
                <w:bCs/>
                <w:color w:val="000000"/>
                <w:sz w:val="18"/>
                <w:szCs w:val="18"/>
                <w:lang w:eastAsia="tr-TR"/>
              </w:rPr>
              <w:t>-4,2</w:t>
            </w:r>
          </w:p>
        </w:tc>
        <w:tc>
          <w:tcPr>
            <w:tcW w:w="1068" w:type="dxa"/>
            <w:tcBorders>
              <w:top w:val="nil"/>
              <w:left w:val="nil"/>
              <w:bottom w:val="single" w:sz="12" w:space="0" w:color="auto"/>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
                <w:bCs/>
                <w:color w:val="000000"/>
                <w:sz w:val="18"/>
                <w:szCs w:val="18"/>
                <w:lang w:eastAsia="tr-TR"/>
              </w:rPr>
            </w:pPr>
            <w:r w:rsidRPr="008774E1">
              <w:rPr>
                <w:rFonts w:ascii="Arial" w:eastAsia="Times New Roman" w:hAnsi="Arial" w:cs="Arial"/>
                <w:b/>
                <w:bCs/>
                <w:color w:val="000000"/>
                <w:sz w:val="18"/>
                <w:szCs w:val="18"/>
                <w:lang w:eastAsia="tr-TR"/>
              </w:rPr>
              <w:t>-0,2</w:t>
            </w:r>
          </w:p>
        </w:tc>
        <w:tc>
          <w:tcPr>
            <w:tcW w:w="1134" w:type="dxa"/>
            <w:tcBorders>
              <w:top w:val="nil"/>
              <w:left w:val="nil"/>
              <w:bottom w:val="single" w:sz="12" w:space="0" w:color="auto"/>
              <w:right w:val="single" w:sz="4"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
                <w:bCs/>
                <w:color w:val="000000"/>
                <w:sz w:val="18"/>
                <w:szCs w:val="18"/>
                <w:lang w:eastAsia="tr-TR"/>
              </w:rPr>
            </w:pPr>
            <w:r w:rsidRPr="008774E1">
              <w:rPr>
                <w:rFonts w:ascii="Arial" w:eastAsia="Times New Roman" w:hAnsi="Arial" w:cs="Arial"/>
                <w:b/>
                <w:bCs/>
                <w:color w:val="000000"/>
                <w:sz w:val="18"/>
                <w:szCs w:val="18"/>
                <w:lang w:eastAsia="tr-TR"/>
              </w:rPr>
              <w:t>1,1</w:t>
            </w:r>
          </w:p>
        </w:tc>
        <w:tc>
          <w:tcPr>
            <w:tcW w:w="1062" w:type="dxa"/>
            <w:tcBorders>
              <w:top w:val="nil"/>
              <w:left w:val="nil"/>
              <w:bottom w:val="single" w:sz="12" w:space="0" w:color="auto"/>
              <w:right w:val="single" w:sz="12" w:space="0" w:color="auto"/>
            </w:tcBorders>
            <w:shd w:val="clear" w:color="000000" w:fill="FFFFFF"/>
            <w:noWrap/>
            <w:vAlign w:val="center"/>
            <w:hideMark/>
          </w:tcPr>
          <w:p w:rsidR="00F76DC4" w:rsidRPr="008774E1" w:rsidRDefault="00F76DC4" w:rsidP="008042B1">
            <w:pPr>
              <w:spacing w:after="0" w:line="240" w:lineRule="auto"/>
              <w:jc w:val="right"/>
              <w:rPr>
                <w:rFonts w:ascii="Arial" w:eastAsia="Times New Roman" w:hAnsi="Arial" w:cs="Arial"/>
                <w:b/>
                <w:bCs/>
                <w:color w:val="000000"/>
                <w:sz w:val="18"/>
                <w:szCs w:val="18"/>
                <w:lang w:eastAsia="tr-TR"/>
              </w:rPr>
            </w:pPr>
            <w:r w:rsidRPr="008774E1">
              <w:rPr>
                <w:rFonts w:ascii="Arial" w:eastAsia="Times New Roman" w:hAnsi="Arial" w:cs="Arial"/>
                <w:b/>
                <w:bCs/>
                <w:color w:val="000000"/>
                <w:sz w:val="18"/>
                <w:szCs w:val="18"/>
                <w:lang w:eastAsia="tr-TR"/>
              </w:rPr>
              <w:t>0,0</w:t>
            </w:r>
          </w:p>
        </w:tc>
      </w:tr>
      <w:tr w:rsidR="00F76DC4" w:rsidRPr="00071923" w:rsidTr="008042B1">
        <w:trPr>
          <w:trHeight w:val="300"/>
        </w:trPr>
        <w:tc>
          <w:tcPr>
            <w:tcW w:w="3959" w:type="dxa"/>
            <w:tcBorders>
              <w:top w:val="single" w:sz="12" w:space="0" w:color="auto"/>
              <w:left w:val="single" w:sz="12" w:space="0" w:color="auto"/>
              <w:bottom w:val="single" w:sz="4" w:space="0" w:color="auto"/>
              <w:right w:val="single" w:sz="4" w:space="0" w:color="auto"/>
            </w:tcBorders>
            <w:shd w:val="clear" w:color="000000" w:fill="FFFFFF"/>
            <w:noWrap/>
            <w:vAlign w:val="bottom"/>
            <w:hideMark/>
          </w:tcPr>
          <w:p w:rsidR="00F76DC4" w:rsidRPr="00071923" w:rsidRDefault="00F76DC4" w:rsidP="008042B1">
            <w:pPr>
              <w:spacing w:after="0" w:line="240" w:lineRule="auto"/>
              <w:rPr>
                <w:rFonts w:ascii="Arial" w:eastAsia="Times New Roman" w:hAnsi="Arial" w:cs="Arial"/>
                <w:sz w:val="18"/>
                <w:szCs w:val="18"/>
                <w:lang w:eastAsia="tr-TR"/>
              </w:rPr>
            </w:pPr>
            <w:r w:rsidRPr="00071923">
              <w:rPr>
                <w:rFonts w:ascii="Arial" w:eastAsia="Times New Roman" w:hAnsi="Arial" w:cs="Arial"/>
                <w:sz w:val="18"/>
                <w:szCs w:val="18"/>
                <w:lang w:eastAsia="tr-TR"/>
              </w:rPr>
              <w:t> </w:t>
            </w:r>
          </w:p>
        </w:tc>
        <w:tc>
          <w:tcPr>
            <w:tcW w:w="5188" w:type="dxa"/>
            <w:gridSpan w:val="5"/>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F76DC4" w:rsidRPr="00071923" w:rsidRDefault="00F76DC4" w:rsidP="008042B1">
            <w:pPr>
              <w:spacing w:after="0" w:line="240" w:lineRule="auto"/>
              <w:jc w:val="center"/>
              <w:rPr>
                <w:rFonts w:ascii="Arial" w:eastAsia="Times New Roman" w:hAnsi="Arial" w:cs="Arial"/>
                <w:sz w:val="18"/>
                <w:szCs w:val="18"/>
                <w:lang w:eastAsia="tr-TR"/>
              </w:rPr>
            </w:pPr>
            <w:r w:rsidRPr="00071923">
              <w:rPr>
                <w:rFonts w:ascii="Arial" w:hAnsi="Arial" w:cs="Arial"/>
                <w:sz w:val="18"/>
                <w:szCs w:val="18"/>
              </w:rPr>
              <w:t>(</w:t>
            </w:r>
            <w:proofErr w:type="spellStart"/>
            <w:r w:rsidRPr="00071923">
              <w:rPr>
                <w:rFonts w:ascii="Arial" w:hAnsi="Arial" w:cs="Arial"/>
                <w:sz w:val="18"/>
                <w:szCs w:val="18"/>
              </w:rPr>
              <w:t>GSYH’ya</w:t>
            </w:r>
            <w:proofErr w:type="spellEnd"/>
            <w:r w:rsidRPr="00071923">
              <w:rPr>
                <w:rFonts w:ascii="Arial" w:hAnsi="Arial" w:cs="Arial"/>
                <w:sz w:val="18"/>
                <w:szCs w:val="18"/>
              </w:rPr>
              <w:t xml:space="preserve"> Oran, Yüzde)</w:t>
            </w:r>
          </w:p>
        </w:tc>
      </w:tr>
      <w:tr w:rsidR="00F76DC4" w:rsidRPr="00071923" w:rsidTr="008042B1">
        <w:trPr>
          <w:trHeight w:val="300"/>
        </w:trPr>
        <w:tc>
          <w:tcPr>
            <w:tcW w:w="3959"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Kamu Kesimi</w:t>
            </w:r>
          </w:p>
        </w:tc>
        <w:tc>
          <w:tcPr>
            <w:tcW w:w="962"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
                <w:bCs/>
                <w:color w:val="000000"/>
                <w:sz w:val="18"/>
                <w:szCs w:val="18"/>
                <w:lang w:eastAsia="tr-TR"/>
              </w:rPr>
            </w:pPr>
            <w:r w:rsidRPr="00BD674D">
              <w:rPr>
                <w:rFonts w:ascii="Arial" w:eastAsia="Times New Roman" w:hAnsi="Arial" w:cs="Arial"/>
                <w:b/>
                <w:bCs/>
                <w:color w:val="000000"/>
                <w:sz w:val="18"/>
                <w:szCs w:val="18"/>
                <w:lang w:eastAsia="tr-TR"/>
              </w:rPr>
              <w:t>1,0</w:t>
            </w:r>
          </w:p>
        </w:tc>
        <w:tc>
          <w:tcPr>
            <w:tcW w:w="962"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
                <w:bCs/>
                <w:color w:val="000000"/>
                <w:sz w:val="18"/>
                <w:szCs w:val="18"/>
                <w:lang w:eastAsia="tr-TR"/>
              </w:rPr>
            </w:pPr>
            <w:r w:rsidRPr="00BD674D">
              <w:rPr>
                <w:rFonts w:ascii="Arial" w:eastAsia="Times New Roman" w:hAnsi="Arial" w:cs="Arial"/>
                <w:b/>
                <w:bCs/>
                <w:color w:val="000000"/>
                <w:sz w:val="18"/>
                <w:szCs w:val="18"/>
                <w:lang w:eastAsia="tr-TR"/>
              </w:rPr>
              <w:t>0,4</w:t>
            </w:r>
          </w:p>
        </w:tc>
        <w:tc>
          <w:tcPr>
            <w:tcW w:w="1068"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
                <w:bCs/>
                <w:color w:val="000000"/>
                <w:sz w:val="18"/>
                <w:szCs w:val="18"/>
                <w:lang w:eastAsia="tr-TR"/>
              </w:rPr>
            </w:pPr>
            <w:r w:rsidRPr="00BD674D">
              <w:rPr>
                <w:rFonts w:ascii="Arial" w:eastAsia="Times New Roman" w:hAnsi="Arial" w:cs="Arial"/>
                <w:b/>
                <w:bCs/>
                <w:color w:val="000000"/>
                <w:sz w:val="18"/>
                <w:szCs w:val="18"/>
                <w:lang w:eastAsia="tr-TR"/>
              </w:rPr>
              <w:t>1,2</w:t>
            </w:r>
          </w:p>
        </w:tc>
        <w:tc>
          <w:tcPr>
            <w:tcW w:w="1134"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
                <w:bCs/>
                <w:color w:val="000000"/>
                <w:sz w:val="18"/>
                <w:szCs w:val="18"/>
                <w:lang w:eastAsia="tr-TR"/>
              </w:rPr>
            </w:pPr>
            <w:r w:rsidRPr="00BD674D">
              <w:rPr>
                <w:rFonts w:ascii="Arial" w:eastAsia="Times New Roman" w:hAnsi="Arial" w:cs="Arial"/>
                <w:b/>
                <w:bCs/>
                <w:color w:val="000000"/>
                <w:sz w:val="18"/>
                <w:szCs w:val="18"/>
                <w:lang w:eastAsia="tr-TR"/>
              </w:rPr>
              <w:t>1,5</w:t>
            </w:r>
          </w:p>
        </w:tc>
        <w:tc>
          <w:tcPr>
            <w:tcW w:w="1062" w:type="dxa"/>
            <w:tcBorders>
              <w:top w:val="nil"/>
              <w:left w:val="nil"/>
              <w:bottom w:val="nil"/>
              <w:right w:val="single" w:sz="12"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
                <w:bCs/>
                <w:color w:val="000000"/>
                <w:sz w:val="18"/>
                <w:szCs w:val="18"/>
                <w:lang w:eastAsia="tr-TR"/>
              </w:rPr>
            </w:pPr>
            <w:r w:rsidRPr="00BD674D">
              <w:rPr>
                <w:rFonts w:ascii="Arial" w:eastAsia="Times New Roman" w:hAnsi="Arial" w:cs="Arial"/>
                <w:b/>
                <w:bCs/>
                <w:color w:val="000000"/>
                <w:sz w:val="18"/>
                <w:szCs w:val="18"/>
                <w:lang w:eastAsia="tr-TR"/>
              </w:rPr>
              <w:t>1,8</w:t>
            </w:r>
          </w:p>
        </w:tc>
      </w:tr>
      <w:tr w:rsidR="00F76DC4" w:rsidRPr="00071923" w:rsidTr="008042B1">
        <w:trPr>
          <w:trHeight w:val="300"/>
        </w:trPr>
        <w:tc>
          <w:tcPr>
            <w:tcW w:w="3959"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200" w:firstLine="361"/>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Genel Devlet</w:t>
            </w:r>
          </w:p>
        </w:tc>
        <w:tc>
          <w:tcPr>
            <w:tcW w:w="962"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
                <w:bCs/>
                <w:color w:val="000000"/>
                <w:sz w:val="18"/>
                <w:szCs w:val="18"/>
                <w:lang w:eastAsia="tr-TR"/>
              </w:rPr>
            </w:pPr>
            <w:r w:rsidRPr="00BD674D">
              <w:rPr>
                <w:rFonts w:ascii="Arial" w:eastAsia="Times New Roman" w:hAnsi="Arial" w:cs="Arial"/>
                <w:b/>
                <w:bCs/>
                <w:color w:val="000000"/>
                <w:sz w:val="18"/>
                <w:szCs w:val="18"/>
                <w:lang w:eastAsia="tr-TR"/>
              </w:rPr>
              <w:t>0,8</w:t>
            </w:r>
          </w:p>
        </w:tc>
        <w:tc>
          <w:tcPr>
            <w:tcW w:w="962"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
                <w:bCs/>
                <w:color w:val="000000"/>
                <w:sz w:val="18"/>
                <w:szCs w:val="18"/>
                <w:lang w:eastAsia="tr-TR"/>
              </w:rPr>
            </w:pPr>
            <w:r w:rsidRPr="00BD674D">
              <w:rPr>
                <w:rFonts w:ascii="Arial" w:eastAsia="Times New Roman" w:hAnsi="Arial" w:cs="Arial"/>
                <w:b/>
                <w:bCs/>
                <w:color w:val="000000"/>
                <w:sz w:val="18"/>
                <w:szCs w:val="18"/>
                <w:lang w:eastAsia="tr-TR"/>
              </w:rPr>
              <w:t>0,6</w:t>
            </w:r>
          </w:p>
        </w:tc>
        <w:tc>
          <w:tcPr>
            <w:tcW w:w="1068"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
                <w:bCs/>
                <w:color w:val="000000"/>
                <w:sz w:val="18"/>
                <w:szCs w:val="18"/>
                <w:lang w:eastAsia="tr-TR"/>
              </w:rPr>
            </w:pPr>
            <w:r w:rsidRPr="00BD674D">
              <w:rPr>
                <w:rFonts w:ascii="Arial" w:eastAsia="Times New Roman" w:hAnsi="Arial" w:cs="Arial"/>
                <w:b/>
                <w:bCs/>
                <w:color w:val="000000"/>
                <w:sz w:val="18"/>
                <w:szCs w:val="18"/>
                <w:lang w:eastAsia="tr-TR"/>
              </w:rPr>
              <w:t>1,2</w:t>
            </w:r>
          </w:p>
        </w:tc>
        <w:tc>
          <w:tcPr>
            <w:tcW w:w="1134"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
                <w:bCs/>
                <w:color w:val="000000"/>
                <w:sz w:val="18"/>
                <w:szCs w:val="18"/>
                <w:lang w:eastAsia="tr-TR"/>
              </w:rPr>
            </w:pPr>
            <w:r w:rsidRPr="00BD674D">
              <w:rPr>
                <w:rFonts w:ascii="Arial" w:eastAsia="Times New Roman" w:hAnsi="Arial" w:cs="Arial"/>
                <w:b/>
                <w:bCs/>
                <w:color w:val="000000"/>
                <w:sz w:val="18"/>
                <w:szCs w:val="18"/>
                <w:lang w:eastAsia="tr-TR"/>
              </w:rPr>
              <w:t>1,5</w:t>
            </w:r>
          </w:p>
        </w:tc>
        <w:tc>
          <w:tcPr>
            <w:tcW w:w="1062" w:type="dxa"/>
            <w:tcBorders>
              <w:top w:val="nil"/>
              <w:left w:val="nil"/>
              <w:bottom w:val="nil"/>
              <w:right w:val="single" w:sz="12"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
                <w:bCs/>
                <w:color w:val="000000"/>
                <w:sz w:val="18"/>
                <w:szCs w:val="18"/>
                <w:lang w:eastAsia="tr-TR"/>
              </w:rPr>
            </w:pPr>
            <w:r w:rsidRPr="00BD674D">
              <w:rPr>
                <w:rFonts w:ascii="Arial" w:eastAsia="Times New Roman" w:hAnsi="Arial" w:cs="Arial"/>
                <w:b/>
                <w:bCs/>
                <w:color w:val="000000"/>
                <w:sz w:val="18"/>
                <w:szCs w:val="18"/>
                <w:lang w:eastAsia="tr-TR"/>
              </w:rPr>
              <w:t>1,8</w:t>
            </w:r>
          </w:p>
        </w:tc>
      </w:tr>
      <w:tr w:rsidR="00F76DC4" w:rsidRPr="005B5BCC" w:rsidTr="008042B1">
        <w:trPr>
          <w:trHeight w:val="300"/>
        </w:trPr>
        <w:tc>
          <w:tcPr>
            <w:tcW w:w="3959"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Merkezi Yönetim Bütçesi</w:t>
            </w:r>
          </w:p>
        </w:tc>
        <w:tc>
          <w:tcPr>
            <w:tcW w:w="962"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0,9</w:t>
            </w:r>
          </w:p>
        </w:tc>
        <w:tc>
          <w:tcPr>
            <w:tcW w:w="962"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0,5</w:t>
            </w:r>
          </w:p>
        </w:tc>
        <w:tc>
          <w:tcPr>
            <w:tcW w:w="1068"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1,1</w:t>
            </w:r>
          </w:p>
        </w:tc>
        <w:tc>
          <w:tcPr>
            <w:tcW w:w="1134"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1,3</w:t>
            </w:r>
          </w:p>
        </w:tc>
        <w:tc>
          <w:tcPr>
            <w:tcW w:w="1062" w:type="dxa"/>
            <w:tcBorders>
              <w:top w:val="nil"/>
              <w:left w:val="nil"/>
              <w:bottom w:val="nil"/>
              <w:right w:val="single" w:sz="12"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1,7</w:t>
            </w:r>
          </w:p>
        </w:tc>
      </w:tr>
      <w:tr w:rsidR="00F76DC4" w:rsidRPr="005B5BCC" w:rsidTr="008042B1">
        <w:trPr>
          <w:trHeight w:val="300"/>
        </w:trPr>
        <w:tc>
          <w:tcPr>
            <w:tcW w:w="3959"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Mahalli İdareler</w:t>
            </w:r>
          </w:p>
        </w:tc>
        <w:tc>
          <w:tcPr>
            <w:tcW w:w="962"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-0,2</w:t>
            </w:r>
          </w:p>
        </w:tc>
        <w:tc>
          <w:tcPr>
            <w:tcW w:w="962"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0,0</w:t>
            </w:r>
          </w:p>
        </w:tc>
        <w:tc>
          <w:tcPr>
            <w:tcW w:w="1068"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-0,2</w:t>
            </w:r>
          </w:p>
        </w:tc>
        <w:tc>
          <w:tcPr>
            <w:tcW w:w="1134"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-0,2</w:t>
            </w:r>
          </w:p>
        </w:tc>
        <w:tc>
          <w:tcPr>
            <w:tcW w:w="1062" w:type="dxa"/>
            <w:tcBorders>
              <w:top w:val="nil"/>
              <w:left w:val="nil"/>
              <w:bottom w:val="nil"/>
              <w:right w:val="single" w:sz="12"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-0,2</w:t>
            </w:r>
          </w:p>
        </w:tc>
      </w:tr>
      <w:tr w:rsidR="00F76DC4" w:rsidRPr="005B5BCC" w:rsidTr="008042B1">
        <w:trPr>
          <w:trHeight w:val="300"/>
        </w:trPr>
        <w:tc>
          <w:tcPr>
            <w:tcW w:w="3959"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Bütçe Dışı Fonlar</w:t>
            </w:r>
          </w:p>
        </w:tc>
        <w:tc>
          <w:tcPr>
            <w:tcW w:w="962"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-0,3</w:t>
            </w:r>
          </w:p>
        </w:tc>
        <w:tc>
          <w:tcPr>
            <w:tcW w:w="962"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-0,2</w:t>
            </w:r>
          </w:p>
        </w:tc>
        <w:tc>
          <w:tcPr>
            <w:tcW w:w="1068"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0,1</w:t>
            </w:r>
          </w:p>
        </w:tc>
        <w:tc>
          <w:tcPr>
            <w:tcW w:w="1134"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0,1</w:t>
            </w:r>
          </w:p>
        </w:tc>
        <w:tc>
          <w:tcPr>
            <w:tcW w:w="1062" w:type="dxa"/>
            <w:tcBorders>
              <w:top w:val="nil"/>
              <w:left w:val="nil"/>
              <w:bottom w:val="nil"/>
              <w:right w:val="single" w:sz="12"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0,1</w:t>
            </w:r>
          </w:p>
        </w:tc>
      </w:tr>
      <w:tr w:rsidR="00F76DC4" w:rsidRPr="005B5BCC" w:rsidTr="008042B1">
        <w:trPr>
          <w:trHeight w:val="300"/>
        </w:trPr>
        <w:tc>
          <w:tcPr>
            <w:tcW w:w="3959"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İşsizlik Sigortası Fonu</w:t>
            </w:r>
          </w:p>
        </w:tc>
        <w:tc>
          <w:tcPr>
            <w:tcW w:w="962"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0,3</w:t>
            </w:r>
          </w:p>
        </w:tc>
        <w:tc>
          <w:tcPr>
            <w:tcW w:w="962"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0,2</w:t>
            </w:r>
          </w:p>
        </w:tc>
        <w:tc>
          <w:tcPr>
            <w:tcW w:w="1068"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0,2</w:t>
            </w:r>
          </w:p>
        </w:tc>
        <w:tc>
          <w:tcPr>
            <w:tcW w:w="1134"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0,2</w:t>
            </w:r>
          </w:p>
        </w:tc>
        <w:tc>
          <w:tcPr>
            <w:tcW w:w="1062" w:type="dxa"/>
            <w:tcBorders>
              <w:top w:val="nil"/>
              <w:left w:val="nil"/>
              <w:bottom w:val="nil"/>
              <w:right w:val="single" w:sz="12"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0,3</w:t>
            </w:r>
          </w:p>
        </w:tc>
      </w:tr>
      <w:tr w:rsidR="00F76DC4" w:rsidRPr="005B5BCC" w:rsidTr="008042B1">
        <w:trPr>
          <w:trHeight w:val="300"/>
        </w:trPr>
        <w:tc>
          <w:tcPr>
            <w:tcW w:w="3959"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Sosyal Güvenlik Kuruluşları</w:t>
            </w:r>
          </w:p>
        </w:tc>
        <w:tc>
          <w:tcPr>
            <w:tcW w:w="962"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-0,3</w:t>
            </w:r>
          </w:p>
        </w:tc>
        <w:tc>
          <w:tcPr>
            <w:tcW w:w="962"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-0,4</w:t>
            </w:r>
          </w:p>
        </w:tc>
        <w:tc>
          <w:tcPr>
            <w:tcW w:w="1068"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-0,6</w:t>
            </w:r>
          </w:p>
        </w:tc>
        <w:tc>
          <w:tcPr>
            <w:tcW w:w="1134"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-0,6</w:t>
            </w:r>
          </w:p>
        </w:tc>
        <w:tc>
          <w:tcPr>
            <w:tcW w:w="1062" w:type="dxa"/>
            <w:tcBorders>
              <w:top w:val="nil"/>
              <w:left w:val="nil"/>
              <w:bottom w:val="nil"/>
              <w:right w:val="single" w:sz="12"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-0,7</w:t>
            </w:r>
          </w:p>
        </w:tc>
      </w:tr>
      <w:tr w:rsidR="00F76DC4" w:rsidRPr="005B5BCC" w:rsidTr="008042B1">
        <w:trPr>
          <w:trHeight w:val="300"/>
        </w:trPr>
        <w:tc>
          <w:tcPr>
            <w:tcW w:w="3959"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Genel Sağlık Sigortası</w:t>
            </w:r>
          </w:p>
        </w:tc>
        <w:tc>
          <w:tcPr>
            <w:tcW w:w="962"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0,4</w:t>
            </w:r>
          </w:p>
        </w:tc>
        <w:tc>
          <w:tcPr>
            <w:tcW w:w="962"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0,4</w:t>
            </w:r>
          </w:p>
        </w:tc>
        <w:tc>
          <w:tcPr>
            <w:tcW w:w="1068"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0,6</w:t>
            </w:r>
          </w:p>
        </w:tc>
        <w:tc>
          <w:tcPr>
            <w:tcW w:w="1134"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0,6</w:t>
            </w:r>
          </w:p>
        </w:tc>
        <w:tc>
          <w:tcPr>
            <w:tcW w:w="1062" w:type="dxa"/>
            <w:tcBorders>
              <w:top w:val="nil"/>
              <w:left w:val="nil"/>
              <w:bottom w:val="nil"/>
              <w:right w:val="single" w:sz="12"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0,7</w:t>
            </w:r>
          </w:p>
        </w:tc>
      </w:tr>
      <w:tr w:rsidR="00F76DC4" w:rsidRPr="005B5BCC" w:rsidTr="008042B1">
        <w:trPr>
          <w:trHeight w:val="300"/>
        </w:trPr>
        <w:tc>
          <w:tcPr>
            <w:tcW w:w="3959"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300" w:firstLine="540"/>
              <w:rPr>
                <w:rFonts w:ascii="Arial" w:eastAsia="Times New Roman" w:hAnsi="Arial" w:cs="Arial"/>
                <w:sz w:val="18"/>
                <w:szCs w:val="18"/>
                <w:lang w:eastAsia="tr-TR"/>
              </w:rPr>
            </w:pPr>
            <w:r w:rsidRPr="00071923">
              <w:rPr>
                <w:rFonts w:ascii="Arial" w:eastAsia="Times New Roman" w:hAnsi="Arial" w:cs="Arial"/>
                <w:sz w:val="18"/>
                <w:szCs w:val="18"/>
                <w:lang w:eastAsia="tr-TR"/>
              </w:rPr>
              <w:t>Döner Sermayeli Kuruluşlar</w:t>
            </w:r>
          </w:p>
        </w:tc>
        <w:tc>
          <w:tcPr>
            <w:tcW w:w="962"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0,1</w:t>
            </w:r>
          </w:p>
        </w:tc>
        <w:tc>
          <w:tcPr>
            <w:tcW w:w="962"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0,0</w:t>
            </w:r>
          </w:p>
        </w:tc>
        <w:tc>
          <w:tcPr>
            <w:tcW w:w="1068"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0,0</w:t>
            </w:r>
          </w:p>
        </w:tc>
        <w:tc>
          <w:tcPr>
            <w:tcW w:w="1134" w:type="dxa"/>
            <w:tcBorders>
              <w:top w:val="nil"/>
              <w:left w:val="nil"/>
              <w:bottom w:val="nil"/>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0,0</w:t>
            </w:r>
          </w:p>
        </w:tc>
        <w:tc>
          <w:tcPr>
            <w:tcW w:w="1062" w:type="dxa"/>
            <w:tcBorders>
              <w:top w:val="nil"/>
              <w:left w:val="nil"/>
              <w:bottom w:val="nil"/>
              <w:right w:val="single" w:sz="12"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Cs/>
                <w:color w:val="000000"/>
                <w:sz w:val="18"/>
                <w:szCs w:val="18"/>
                <w:lang w:eastAsia="tr-TR"/>
              </w:rPr>
            </w:pPr>
            <w:r w:rsidRPr="00BD674D">
              <w:rPr>
                <w:rFonts w:ascii="Arial" w:eastAsia="Times New Roman" w:hAnsi="Arial" w:cs="Arial"/>
                <w:bCs/>
                <w:color w:val="000000"/>
                <w:sz w:val="18"/>
                <w:szCs w:val="18"/>
                <w:lang w:eastAsia="tr-TR"/>
              </w:rPr>
              <w:t>0,0</w:t>
            </w:r>
          </w:p>
        </w:tc>
      </w:tr>
      <w:tr w:rsidR="00F76DC4" w:rsidRPr="00071923" w:rsidTr="008042B1">
        <w:trPr>
          <w:trHeight w:val="300"/>
        </w:trPr>
        <w:tc>
          <w:tcPr>
            <w:tcW w:w="3959" w:type="dxa"/>
            <w:tcBorders>
              <w:top w:val="nil"/>
              <w:left w:val="single" w:sz="12" w:space="0" w:color="auto"/>
              <w:bottom w:val="single" w:sz="12" w:space="0" w:color="auto"/>
              <w:right w:val="single" w:sz="4" w:space="0" w:color="auto"/>
            </w:tcBorders>
            <w:shd w:val="clear" w:color="000000" w:fill="FFFFFF"/>
            <w:noWrap/>
            <w:vAlign w:val="center"/>
            <w:hideMark/>
          </w:tcPr>
          <w:p w:rsidR="00F76DC4" w:rsidRPr="00071923" w:rsidRDefault="00F76DC4" w:rsidP="008042B1">
            <w:pPr>
              <w:spacing w:after="0" w:line="240" w:lineRule="auto"/>
              <w:ind w:firstLineChars="200" w:firstLine="361"/>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KİT'ler</w:t>
            </w:r>
          </w:p>
        </w:tc>
        <w:tc>
          <w:tcPr>
            <w:tcW w:w="962" w:type="dxa"/>
            <w:tcBorders>
              <w:top w:val="nil"/>
              <w:left w:val="nil"/>
              <w:bottom w:val="single" w:sz="12" w:space="0" w:color="auto"/>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
                <w:bCs/>
                <w:color w:val="000000"/>
                <w:sz w:val="18"/>
                <w:szCs w:val="18"/>
                <w:lang w:eastAsia="tr-TR"/>
              </w:rPr>
            </w:pPr>
            <w:r w:rsidRPr="00BD674D">
              <w:rPr>
                <w:rFonts w:ascii="Arial" w:eastAsia="Times New Roman" w:hAnsi="Arial" w:cs="Arial"/>
                <w:b/>
                <w:bCs/>
                <w:color w:val="000000"/>
                <w:sz w:val="18"/>
                <w:szCs w:val="18"/>
                <w:lang w:eastAsia="tr-TR"/>
              </w:rPr>
              <w:t>0,2</w:t>
            </w:r>
          </w:p>
        </w:tc>
        <w:tc>
          <w:tcPr>
            <w:tcW w:w="962" w:type="dxa"/>
            <w:tcBorders>
              <w:top w:val="nil"/>
              <w:left w:val="nil"/>
              <w:bottom w:val="single" w:sz="12" w:space="0" w:color="auto"/>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
                <w:bCs/>
                <w:color w:val="000000"/>
                <w:sz w:val="18"/>
                <w:szCs w:val="18"/>
                <w:lang w:eastAsia="tr-TR"/>
              </w:rPr>
            </w:pPr>
            <w:r w:rsidRPr="00BD674D">
              <w:rPr>
                <w:rFonts w:ascii="Arial" w:eastAsia="Times New Roman" w:hAnsi="Arial" w:cs="Arial"/>
                <w:b/>
                <w:bCs/>
                <w:color w:val="000000"/>
                <w:sz w:val="18"/>
                <w:szCs w:val="18"/>
                <w:lang w:eastAsia="tr-TR"/>
              </w:rPr>
              <w:t>-0,2</w:t>
            </w:r>
          </w:p>
        </w:tc>
        <w:tc>
          <w:tcPr>
            <w:tcW w:w="1068" w:type="dxa"/>
            <w:tcBorders>
              <w:top w:val="nil"/>
              <w:left w:val="nil"/>
              <w:bottom w:val="single" w:sz="12" w:space="0" w:color="auto"/>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
                <w:bCs/>
                <w:color w:val="000000"/>
                <w:sz w:val="18"/>
                <w:szCs w:val="18"/>
                <w:lang w:eastAsia="tr-TR"/>
              </w:rPr>
            </w:pPr>
            <w:r w:rsidRPr="00BD674D">
              <w:rPr>
                <w:rFonts w:ascii="Arial" w:eastAsia="Times New Roman" w:hAnsi="Arial" w:cs="Arial"/>
                <w:b/>
                <w:bCs/>
                <w:color w:val="000000"/>
                <w:sz w:val="18"/>
                <w:szCs w:val="18"/>
                <w:lang w:eastAsia="tr-TR"/>
              </w:rPr>
              <w:t>0,0</w:t>
            </w:r>
          </w:p>
        </w:tc>
        <w:tc>
          <w:tcPr>
            <w:tcW w:w="1134" w:type="dxa"/>
            <w:tcBorders>
              <w:top w:val="nil"/>
              <w:left w:val="nil"/>
              <w:bottom w:val="single" w:sz="12" w:space="0" w:color="auto"/>
              <w:right w:val="single" w:sz="4"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
                <w:bCs/>
                <w:color w:val="000000"/>
                <w:sz w:val="18"/>
                <w:szCs w:val="18"/>
                <w:lang w:eastAsia="tr-TR"/>
              </w:rPr>
            </w:pPr>
            <w:r w:rsidRPr="00BD674D">
              <w:rPr>
                <w:rFonts w:ascii="Arial" w:eastAsia="Times New Roman" w:hAnsi="Arial" w:cs="Arial"/>
                <w:b/>
                <w:bCs/>
                <w:color w:val="000000"/>
                <w:sz w:val="18"/>
                <w:szCs w:val="18"/>
                <w:lang w:eastAsia="tr-TR"/>
              </w:rPr>
              <w:t>0,1</w:t>
            </w:r>
          </w:p>
        </w:tc>
        <w:tc>
          <w:tcPr>
            <w:tcW w:w="1062" w:type="dxa"/>
            <w:tcBorders>
              <w:top w:val="nil"/>
              <w:left w:val="nil"/>
              <w:bottom w:val="single" w:sz="12" w:space="0" w:color="auto"/>
              <w:right w:val="single" w:sz="12" w:space="0" w:color="auto"/>
            </w:tcBorders>
            <w:shd w:val="clear" w:color="000000" w:fill="FFFFFF"/>
            <w:noWrap/>
            <w:vAlign w:val="center"/>
            <w:hideMark/>
          </w:tcPr>
          <w:p w:rsidR="00F76DC4" w:rsidRPr="00BD674D" w:rsidRDefault="00F76DC4" w:rsidP="008042B1">
            <w:pPr>
              <w:spacing w:after="0" w:line="240" w:lineRule="auto"/>
              <w:jc w:val="right"/>
              <w:rPr>
                <w:rFonts w:ascii="Arial" w:eastAsia="Times New Roman" w:hAnsi="Arial" w:cs="Arial"/>
                <w:b/>
                <w:bCs/>
                <w:color w:val="000000"/>
                <w:sz w:val="18"/>
                <w:szCs w:val="18"/>
                <w:lang w:eastAsia="tr-TR"/>
              </w:rPr>
            </w:pPr>
            <w:r w:rsidRPr="00BD674D">
              <w:rPr>
                <w:rFonts w:ascii="Arial" w:eastAsia="Times New Roman" w:hAnsi="Arial" w:cs="Arial"/>
                <w:b/>
                <w:bCs/>
                <w:color w:val="000000"/>
                <w:sz w:val="18"/>
                <w:szCs w:val="18"/>
                <w:lang w:eastAsia="tr-TR"/>
              </w:rPr>
              <w:t>0,0</w:t>
            </w:r>
          </w:p>
        </w:tc>
      </w:tr>
    </w:tbl>
    <w:p w:rsidR="00F76DC4" w:rsidRPr="00071923" w:rsidRDefault="00F76DC4" w:rsidP="00F76DC4">
      <w:pPr>
        <w:pStyle w:val="Default"/>
        <w:ind w:left="57"/>
        <w:rPr>
          <w:rFonts w:ascii="Arial" w:hAnsi="Arial" w:cs="Arial"/>
          <w:color w:val="auto"/>
          <w:sz w:val="16"/>
          <w:szCs w:val="18"/>
        </w:rPr>
      </w:pPr>
      <w:r w:rsidRPr="00071923">
        <w:rPr>
          <w:rFonts w:ascii="Arial" w:hAnsi="Arial" w:cs="Arial"/>
          <w:color w:val="auto"/>
          <w:sz w:val="16"/>
          <w:szCs w:val="18"/>
        </w:rPr>
        <w:t>(1) Faiz gelirleri ve giderleri, özelleştirme gelirleri, kamu bankaları kâr payları ve bazı özellikli gelirler ile giderler hariç tutularak hesaplanmaktadır.</w:t>
      </w:r>
    </w:p>
    <w:p w:rsidR="00F76DC4" w:rsidRPr="00471C4A" w:rsidRDefault="00F76DC4" w:rsidP="00F76DC4">
      <w:pPr>
        <w:spacing w:after="0" w:line="240" w:lineRule="auto"/>
        <w:ind w:left="57"/>
        <w:rPr>
          <w:rFonts w:ascii="Arial" w:hAnsi="Arial" w:cs="Arial"/>
          <w:sz w:val="16"/>
          <w:szCs w:val="18"/>
        </w:rPr>
      </w:pPr>
      <w:r w:rsidRPr="00471C4A">
        <w:rPr>
          <w:rFonts w:ascii="Arial" w:hAnsi="Arial" w:cs="Arial"/>
          <w:sz w:val="16"/>
          <w:szCs w:val="18"/>
        </w:rPr>
        <w:t>GT: Gerçekleşme tahmini</w:t>
      </w:r>
    </w:p>
    <w:p w:rsidR="00F76DC4" w:rsidRPr="00471C4A" w:rsidRDefault="00F76DC4" w:rsidP="00F76DC4">
      <w:pPr>
        <w:spacing w:after="0" w:line="240" w:lineRule="auto"/>
        <w:ind w:left="57"/>
        <w:rPr>
          <w:rFonts w:ascii="Arial" w:hAnsi="Arial" w:cs="Arial"/>
          <w:sz w:val="16"/>
          <w:szCs w:val="18"/>
        </w:rPr>
      </w:pPr>
      <w:r w:rsidRPr="00471C4A">
        <w:rPr>
          <w:rFonts w:ascii="Arial" w:hAnsi="Arial" w:cs="Arial"/>
          <w:sz w:val="16"/>
          <w:szCs w:val="18"/>
        </w:rPr>
        <w:t>P: Program</w:t>
      </w:r>
    </w:p>
    <w:p w:rsidR="00F76DC4" w:rsidRDefault="00F76DC4" w:rsidP="00F76DC4">
      <w:pPr>
        <w:tabs>
          <w:tab w:val="left" w:pos="567"/>
        </w:tabs>
        <w:spacing w:after="120" w:line="240" w:lineRule="auto"/>
        <w:rPr>
          <w:rFonts w:ascii="Arial" w:hAnsi="Arial" w:cs="Arial"/>
          <w:sz w:val="24"/>
          <w:szCs w:val="24"/>
        </w:rPr>
      </w:pPr>
    </w:p>
    <w:p w:rsidR="00F76DC4" w:rsidRDefault="00F76DC4" w:rsidP="00F76DC4">
      <w:pPr>
        <w:tabs>
          <w:tab w:val="left" w:pos="567"/>
        </w:tabs>
        <w:spacing w:after="120" w:line="240" w:lineRule="auto"/>
        <w:rPr>
          <w:rFonts w:ascii="Arial" w:hAnsi="Arial" w:cs="Arial"/>
          <w:sz w:val="24"/>
          <w:szCs w:val="24"/>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968"/>
        <w:gridCol w:w="989"/>
        <w:gridCol w:w="991"/>
        <w:gridCol w:w="983"/>
        <w:gridCol w:w="1150"/>
        <w:gridCol w:w="991"/>
      </w:tblGrid>
      <w:tr w:rsidR="00F76DC4" w:rsidRPr="00071923" w:rsidTr="008042B1">
        <w:trPr>
          <w:trHeight w:val="299"/>
        </w:trPr>
        <w:tc>
          <w:tcPr>
            <w:tcW w:w="3278" w:type="pct"/>
            <w:gridSpan w:val="3"/>
            <w:tcBorders>
              <w:top w:val="nil"/>
              <w:left w:val="nil"/>
              <w:bottom w:val="single" w:sz="12" w:space="0" w:color="auto"/>
              <w:right w:val="nil"/>
            </w:tcBorders>
            <w:shd w:val="clear" w:color="000000" w:fill="FFFFFF"/>
            <w:noWrap/>
            <w:vAlign w:val="bottom"/>
          </w:tcPr>
          <w:p w:rsidR="00F76DC4" w:rsidRPr="00071923" w:rsidRDefault="00F76DC4" w:rsidP="008042B1">
            <w:pPr>
              <w:spacing w:after="0" w:line="240" w:lineRule="auto"/>
              <w:rPr>
                <w:rFonts w:ascii="Arial" w:hAnsi="Arial" w:cs="Arial"/>
                <w:b/>
                <w:bCs/>
                <w:sz w:val="16"/>
                <w:szCs w:val="16"/>
              </w:rPr>
            </w:pPr>
            <w:r w:rsidRPr="00071923">
              <w:rPr>
                <w:rFonts w:ascii="Arial" w:hAnsi="Arial" w:cs="Arial"/>
                <w:b/>
              </w:rPr>
              <w:t>Ek Tablo 4: Kamu Kesimine İlişkin Diğer Göstergeler</w:t>
            </w:r>
            <w:r w:rsidRPr="00071923">
              <w:rPr>
                <w:rFonts w:ascii="Arial" w:hAnsi="Arial" w:cs="Arial"/>
                <w:b/>
                <w:sz w:val="18"/>
                <w:szCs w:val="16"/>
              </w:rPr>
              <w:t xml:space="preserve">               </w:t>
            </w:r>
          </w:p>
        </w:tc>
        <w:tc>
          <w:tcPr>
            <w:tcW w:w="1722" w:type="pct"/>
            <w:gridSpan w:val="3"/>
            <w:tcBorders>
              <w:top w:val="nil"/>
              <w:left w:val="nil"/>
              <w:bottom w:val="single" w:sz="12" w:space="0" w:color="auto"/>
              <w:right w:val="nil"/>
            </w:tcBorders>
            <w:shd w:val="clear" w:color="000000" w:fill="FFFFFF"/>
            <w:vAlign w:val="bottom"/>
          </w:tcPr>
          <w:p w:rsidR="00F76DC4" w:rsidRPr="00071923" w:rsidRDefault="00F76DC4" w:rsidP="008042B1">
            <w:pPr>
              <w:spacing w:after="0" w:line="240" w:lineRule="auto"/>
              <w:jc w:val="right"/>
              <w:rPr>
                <w:rFonts w:ascii="Arial" w:hAnsi="Arial" w:cs="Arial"/>
                <w:b/>
                <w:bCs/>
                <w:sz w:val="16"/>
                <w:szCs w:val="16"/>
              </w:rPr>
            </w:pPr>
          </w:p>
        </w:tc>
      </w:tr>
      <w:tr w:rsidR="00F76DC4" w:rsidRPr="00071923" w:rsidTr="008042B1">
        <w:trPr>
          <w:trHeight w:val="299"/>
        </w:trPr>
        <w:tc>
          <w:tcPr>
            <w:tcW w:w="2187" w:type="pct"/>
            <w:tcBorders>
              <w:top w:val="nil"/>
              <w:left w:val="single" w:sz="12" w:space="0" w:color="auto"/>
              <w:bottom w:val="single" w:sz="12" w:space="0" w:color="auto"/>
            </w:tcBorders>
            <w:shd w:val="clear" w:color="000000" w:fill="FFFFFF"/>
            <w:noWrap/>
            <w:vAlign w:val="bottom"/>
            <w:hideMark/>
          </w:tcPr>
          <w:p w:rsidR="00F76DC4" w:rsidRPr="00071923" w:rsidRDefault="00F76DC4" w:rsidP="008042B1">
            <w:pPr>
              <w:rPr>
                <w:rFonts w:ascii="Arial" w:hAnsi="Arial" w:cs="Arial"/>
                <w:sz w:val="18"/>
                <w:szCs w:val="18"/>
              </w:rPr>
            </w:pPr>
          </w:p>
        </w:tc>
        <w:tc>
          <w:tcPr>
            <w:tcW w:w="545" w:type="pct"/>
            <w:tcBorders>
              <w:top w:val="nil"/>
              <w:bottom w:val="single" w:sz="12" w:space="0" w:color="auto"/>
            </w:tcBorders>
            <w:shd w:val="clear" w:color="000000" w:fill="FFFFFF"/>
            <w:noWrap/>
            <w:vAlign w:val="center"/>
            <w:hideMark/>
          </w:tcPr>
          <w:p w:rsidR="00F76DC4" w:rsidRPr="00071923" w:rsidRDefault="00F76DC4" w:rsidP="008042B1">
            <w:pPr>
              <w:spacing w:after="0" w:line="240" w:lineRule="auto"/>
              <w:jc w:val="center"/>
              <w:rPr>
                <w:rFonts w:ascii="Arial" w:hAnsi="Arial" w:cs="Arial"/>
                <w:b/>
                <w:bCs/>
                <w:sz w:val="18"/>
                <w:szCs w:val="18"/>
              </w:rPr>
            </w:pPr>
            <w:r>
              <w:rPr>
                <w:rFonts w:ascii="Arial" w:hAnsi="Arial" w:cs="Arial"/>
                <w:b/>
                <w:bCs/>
                <w:sz w:val="18"/>
                <w:szCs w:val="18"/>
              </w:rPr>
              <w:t>2013</w:t>
            </w:r>
          </w:p>
        </w:tc>
        <w:tc>
          <w:tcPr>
            <w:tcW w:w="546" w:type="pct"/>
            <w:tcBorders>
              <w:top w:val="nil"/>
              <w:bottom w:val="single" w:sz="12" w:space="0" w:color="auto"/>
            </w:tcBorders>
            <w:shd w:val="clear" w:color="000000" w:fill="FFFFFF"/>
            <w:noWrap/>
            <w:vAlign w:val="center"/>
            <w:hideMark/>
          </w:tcPr>
          <w:p w:rsidR="00F76DC4" w:rsidRPr="00071923" w:rsidRDefault="00F76DC4" w:rsidP="008042B1">
            <w:pPr>
              <w:spacing w:after="0" w:line="240" w:lineRule="auto"/>
              <w:jc w:val="center"/>
              <w:rPr>
                <w:rFonts w:ascii="Arial" w:hAnsi="Arial" w:cs="Arial"/>
                <w:b/>
                <w:bCs/>
                <w:sz w:val="18"/>
                <w:szCs w:val="18"/>
              </w:rPr>
            </w:pPr>
            <w:r w:rsidRPr="00071923">
              <w:rPr>
                <w:rFonts w:ascii="Arial" w:hAnsi="Arial" w:cs="Arial"/>
                <w:b/>
                <w:bCs/>
                <w:sz w:val="18"/>
                <w:szCs w:val="18"/>
              </w:rPr>
              <w:t>201</w:t>
            </w:r>
            <w:r>
              <w:rPr>
                <w:rFonts w:ascii="Arial" w:hAnsi="Arial" w:cs="Arial"/>
                <w:b/>
                <w:bCs/>
                <w:sz w:val="18"/>
                <w:szCs w:val="18"/>
              </w:rPr>
              <w:t>4</w:t>
            </w:r>
            <w:r w:rsidRPr="00071923">
              <w:rPr>
                <w:rFonts w:ascii="Arial" w:hAnsi="Arial" w:cs="Arial"/>
                <w:b/>
                <w:bCs/>
                <w:sz w:val="18"/>
                <w:szCs w:val="18"/>
              </w:rPr>
              <w:t xml:space="preserve"> </w:t>
            </w:r>
            <w:r>
              <w:rPr>
                <w:rFonts w:ascii="Arial" w:hAnsi="Arial" w:cs="Arial"/>
                <w:b/>
                <w:bCs/>
                <w:sz w:val="18"/>
                <w:szCs w:val="18"/>
              </w:rPr>
              <w:t>(</w:t>
            </w:r>
            <w:r w:rsidRPr="00071923">
              <w:rPr>
                <w:rFonts w:ascii="Arial" w:hAnsi="Arial" w:cs="Arial"/>
                <w:b/>
                <w:bCs/>
                <w:sz w:val="18"/>
                <w:szCs w:val="18"/>
              </w:rPr>
              <w:t>GT</w:t>
            </w:r>
            <w:r>
              <w:rPr>
                <w:rFonts w:ascii="Arial" w:hAnsi="Arial" w:cs="Arial"/>
                <w:b/>
                <w:bCs/>
                <w:sz w:val="18"/>
                <w:szCs w:val="18"/>
              </w:rPr>
              <w:t>)</w:t>
            </w:r>
          </w:p>
        </w:tc>
        <w:tc>
          <w:tcPr>
            <w:tcW w:w="542" w:type="pct"/>
            <w:tcBorders>
              <w:bottom w:val="single" w:sz="12" w:space="0" w:color="auto"/>
            </w:tcBorders>
            <w:shd w:val="clear" w:color="000000" w:fill="FFFFFF"/>
            <w:noWrap/>
            <w:vAlign w:val="center"/>
            <w:hideMark/>
          </w:tcPr>
          <w:p w:rsidR="00F76DC4" w:rsidRPr="00071923" w:rsidRDefault="00F76DC4" w:rsidP="008042B1">
            <w:pPr>
              <w:spacing w:after="0" w:line="240" w:lineRule="auto"/>
              <w:jc w:val="center"/>
              <w:rPr>
                <w:rFonts w:ascii="Arial" w:hAnsi="Arial" w:cs="Arial"/>
                <w:b/>
                <w:bCs/>
                <w:sz w:val="18"/>
                <w:szCs w:val="18"/>
              </w:rPr>
            </w:pPr>
            <w:r w:rsidRPr="00071923">
              <w:rPr>
                <w:rFonts w:ascii="Arial" w:hAnsi="Arial" w:cs="Arial"/>
                <w:b/>
                <w:bCs/>
                <w:sz w:val="18"/>
                <w:szCs w:val="18"/>
              </w:rPr>
              <w:t>201</w:t>
            </w:r>
            <w:r>
              <w:rPr>
                <w:rFonts w:ascii="Arial" w:hAnsi="Arial" w:cs="Arial"/>
                <w:b/>
                <w:bCs/>
                <w:sz w:val="18"/>
                <w:szCs w:val="18"/>
              </w:rPr>
              <w:t>5 (P)</w:t>
            </w:r>
          </w:p>
        </w:tc>
        <w:tc>
          <w:tcPr>
            <w:tcW w:w="634" w:type="pct"/>
            <w:tcBorders>
              <w:bottom w:val="single" w:sz="12" w:space="0" w:color="auto"/>
            </w:tcBorders>
            <w:shd w:val="clear" w:color="000000" w:fill="FFFFFF"/>
            <w:noWrap/>
            <w:vAlign w:val="center"/>
            <w:hideMark/>
          </w:tcPr>
          <w:p w:rsidR="00F76DC4" w:rsidRPr="00071923" w:rsidRDefault="00F76DC4" w:rsidP="008042B1">
            <w:pPr>
              <w:spacing w:after="0" w:line="240" w:lineRule="auto"/>
              <w:jc w:val="center"/>
              <w:rPr>
                <w:rFonts w:ascii="Arial" w:hAnsi="Arial" w:cs="Arial"/>
                <w:b/>
                <w:bCs/>
                <w:sz w:val="18"/>
                <w:szCs w:val="18"/>
              </w:rPr>
            </w:pPr>
            <w:r w:rsidRPr="00071923">
              <w:rPr>
                <w:rFonts w:ascii="Arial" w:hAnsi="Arial" w:cs="Arial"/>
                <w:b/>
                <w:bCs/>
                <w:sz w:val="18"/>
                <w:szCs w:val="18"/>
              </w:rPr>
              <w:t>201</w:t>
            </w:r>
            <w:r>
              <w:rPr>
                <w:rFonts w:ascii="Arial" w:hAnsi="Arial" w:cs="Arial"/>
                <w:b/>
                <w:bCs/>
                <w:sz w:val="18"/>
                <w:szCs w:val="18"/>
              </w:rPr>
              <w:t>6 (P)</w:t>
            </w:r>
          </w:p>
        </w:tc>
        <w:tc>
          <w:tcPr>
            <w:tcW w:w="546" w:type="pct"/>
            <w:tcBorders>
              <w:bottom w:val="single" w:sz="12" w:space="0" w:color="auto"/>
              <w:right w:val="single" w:sz="12" w:space="0" w:color="auto"/>
            </w:tcBorders>
            <w:shd w:val="clear" w:color="000000" w:fill="FFFFFF"/>
            <w:noWrap/>
            <w:vAlign w:val="center"/>
            <w:hideMark/>
          </w:tcPr>
          <w:p w:rsidR="00F76DC4" w:rsidRPr="00071923" w:rsidRDefault="00F76DC4" w:rsidP="008042B1">
            <w:pPr>
              <w:spacing w:after="0" w:line="240" w:lineRule="auto"/>
              <w:jc w:val="center"/>
              <w:rPr>
                <w:rFonts w:ascii="Arial" w:hAnsi="Arial" w:cs="Arial"/>
                <w:b/>
                <w:bCs/>
                <w:sz w:val="18"/>
                <w:szCs w:val="18"/>
              </w:rPr>
            </w:pPr>
            <w:r w:rsidRPr="00071923">
              <w:rPr>
                <w:rFonts w:ascii="Arial" w:hAnsi="Arial" w:cs="Arial"/>
                <w:b/>
                <w:bCs/>
                <w:sz w:val="18"/>
                <w:szCs w:val="18"/>
              </w:rPr>
              <w:t>201</w:t>
            </w:r>
            <w:r>
              <w:rPr>
                <w:rFonts w:ascii="Arial" w:hAnsi="Arial" w:cs="Arial"/>
                <w:b/>
                <w:bCs/>
                <w:sz w:val="18"/>
                <w:szCs w:val="18"/>
              </w:rPr>
              <w:t>7 (P)</w:t>
            </w:r>
          </w:p>
        </w:tc>
      </w:tr>
      <w:tr w:rsidR="00F76DC4" w:rsidRPr="00071923" w:rsidTr="008042B1">
        <w:trPr>
          <w:trHeight w:val="299"/>
        </w:trPr>
        <w:tc>
          <w:tcPr>
            <w:tcW w:w="2187" w:type="pct"/>
            <w:tcBorders>
              <w:top w:val="single" w:sz="12" w:space="0" w:color="auto"/>
              <w:left w:val="single" w:sz="12" w:space="0" w:color="auto"/>
              <w:bottom w:val="single" w:sz="6" w:space="0" w:color="auto"/>
            </w:tcBorders>
            <w:shd w:val="clear" w:color="000000" w:fill="FFFFFF"/>
            <w:noWrap/>
            <w:vAlign w:val="center"/>
          </w:tcPr>
          <w:p w:rsidR="00F76DC4" w:rsidRPr="00071923" w:rsidRDefault="00F76DC4" w:rsidP="008042B1">
            <w:pPr>
              <w:spacing w:after="0" w:line="240" w:lineRule="auto"/>
              <w:rPr>
                <w:rFonts w:ascii="Arial" w:hAnsi="Arial" w:cs="Arial"/>
                <w:bCs/>
                <w:sz w:val="18"/>
                <w:szCs w:val="18"/>
              </w:rPr>
            </w:pPr>
          </w:p>
        </w:tc>
        <w:tc>
          <w:tcPr>
            <w:tcW w:w="2813" w:type="pct"/>
            <w:gridSpan w:val="5"/>
            <w:tcBorders>
              <w:top w:val="single" w:sz="12" w:space="0" w:color="auto"/>
              <w:bottom w:val="single" w:sz="6" w:space="0" w:color="auto"/>
              <w:right w:val="single" w:sz="12" w:space="0" w:color="auto"/>
            </w:tcBorders>
            <w:shd w:val="clear" w:color="000000" w:fill="FFFFFF"/>
            <w:noWrap/>
            <w:vAlign w:val="center"/>
          </w:tcPr>
          <w:p w:rsidR="00F76DC4" w:rsidRPr="00071923" w:rsidRDefault="00F76DC4" w:rsidP="008042B1">
            <w:pPr>
              <w:spacing w:after="0" w:line="240" w:lineRule="auto"/>
              <w:ind w:right="18"/>
              <w:jc w:val="center"/>
              <w:rPr>
                <w:rFonts w:ascii="Arial" w:hAnsi="Arial" w:cs="Arial"/>
                <w:bCs/>
                <w:sz w:val="18"/>
                <w:szCs w:val="18"/>
              </w:rPr>
            </w:pPr>
            <w:r w:rsidRPr="00071923">
              <w:rPr>
                <w:rFonts w:ascii="Arial" w:hAnsi="Arial" w:cs="Arial"/>
                <w:sz w:val="18"/>
                <w:szCs w:val="18"/>
              </w:rPr>
              <w:t>(</w:t>
            </w:r>
            <w:proofErr w:type="spellStart"/>
            <w:r w:rsidRPr="00071923">
              <w:rPr>
                <w:rFonts w:ascii="Arial" w:hAnsi="Arial" w:cs="Arial"/>
                <w:sz w:val="18"/>
                <w:szCs w:val="18"/>
              </w:rPr>
              <w:t>GSYH’ya</w:t>
            </w:r>
            <w:proofErr w:type="spellEnd"/>
            <w:r w:rsidRPr="00071923">
              <w:rPr>
                <w:rFonts w:ascii="Arial" w:hAnsi="Arial" w:cs="Arial"/>
                <w:sz w:val="18"/>
                <w:szCs w:val="18"/>
              </w:rPr>
              <w:t xml:space="preserve"> Oran, Yüzde)</w:t>
            </w:r>
          </w:p>
        </w:tc>
      </w:tr>
      <w:tr w:rsidR="00F76DC4" w:rsidRPr="00071923" w:rsidTr="008042B1">
        <w:trPr>
          <w:trHeight w:val="299"/>
        </w:trPr>
        <w:tc>
          <w:tcPr>
            <w:tcW w:w="2187" w:type="pct"/>
            <w:tcBorders>
              <w:top w:val="single" w:sz="6" w:space="0" w:color="auto"/>
              <w:left w:val="single" w:sz="12" w:space="0" w:color="auto"/>
              <w:bottom w:val="nil"/>
            </w:tcBorders>
            <w:shd w:val="clear" w:color="000000" w:fill="FFFFFF"/>
            <w:noWrap/>
            <w:vAlign w:val="center"/>
            <w:hideMark/>
          </w:tcPr>
          <w:p w:rsidR="00F76DC4" w:rsidRPr="00071923" w:rsidRDefault="00F76DC4" w:rsidP="008042B1">
            <w:pPr>
              <w:spacing w:after="0" w:line="240" w:lineRule="auto"/>
              <w:ind w:left="142"/>
              <w:rPr>
                <w:rFonts w:ascii="Arial" w:hAnsi="Arial" w:cs="Arial"/>
                <w:bCs/>
                <w:sz w:val="18"/>
                <w:szCs w:val="18"/>
              </w:rPr>
            </w:pPr>
            <w:r w:rsidRPr="00071923">
              <w:rPr>
                <w:rFonts w:ascii="Arial" w:hAnsi="Arial" w:cs="Arial"/>
                <w:bCs/>
                <w:sz w:val="18"/>
                <w:szCs w:val="18"/>
              </w:rPr>
              <w:t>Kamu Harcanabilir Geliri</w:t>
            </w:r>
          </w:p>
        </w:tc>
        <w:tc>
          <w:tcPr>
            <w:tcW w:w="545" w:type="pct"/>
            <w:tcBorders>
              <w:top w:val="single" w:sz="6" w:space="0" w:color="auto"/>
              <w:bottom w:val="nil"/>
            </w:tcBorders>
            <w:shd w:val="clear" w:color="000000" w:fill="FFFFFF"/>
            <w:noWrap/>
            <w:vAlign w:val="center"/>
            <w:hideMark/>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15,2</w:t>
            </w:r>
          </w:p>
        </w:tc>
        <w:tc>
          <w:tcPr>
            <w:tcW w:w="546" w:type="pct"/>
            <w:tcBorders>
              <w:top w:val="single" w:sz="6" w:space="0" w:color="auto"/>
              <w:bottom w:val="nil"/>
            </w:tcBorders>
            <w:shd w:val="clear" w:color="000000" w:fill="FFFFFF"/>
            <w:noWrap/>
            <w:vAlign w:val="center"/>
            <w:hideMark/>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15,0</w:t>
            </w:r>
          </w:p>
        </w:tc>
        <w:tc>
          <w:tcPr>
            <w:tcW w:w="542" w:type="pct"/>
            <w:tcBorders>
              <w:top w:val="single" w:sz="6" w:space="0" w:color="auto"/>
              <w:bottom w:val="nil"/>
            </w:tcBorders>
            <w:shd w:val="clear" w:color="000000" w:fill="FFFFFF"/>
            <w:noWrap/>
            <w:vAlign w:val="center"/>
            <w:hideMark/>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14,7</w:t>
            </w:r>
          </w:p>
        </w:tc>
        <w:tc>
          <w:tcPr>
            <w:tcW w:w="634" w:type="pct"/>
            <w:tcBorders>
              <w:top w:val="single" w:sz="6" w:space="0" w:color="auto"/>
              <w:bottom w:val="nil"/>
            </w:tcBorders>
            <w:shd w:val="clear" w:color="000000" w:fill="FFFFFF"/>
            <w:noWrap/>
            <w:vAlign w:val="center"/>
            <w:hideMark/>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15,0</w:t>
            </w:r>
          </w:p>
        </w:tc>
        <w:tc>
          <w:tcPr>
            <w:tcW w:w="546" w:type="pct"/>
            <w:tcBorders>
              <w:top w:val="single" w:sz="6" w:space="0" w:color="auto"/>
              <w:bottom w:val="nil"/>
              <w:right w:val="single" w:sz="12" w:space="0" w:color="auto"/>
            </w:tcBorders>
            <w:shd w:val="clear" w:color="000000" w:fill="FFFFFF"/>
            <w:noWrap/>
            <w:vAlign w:val="center"/>
            <w:hideMark/>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15,3</w:t>
            </w:r>
          </w:p>
        </w:tc>
      </w:tr>
      <w:tr w:rsidR="00F76DC4" w:rsidRPr="00071923" w:rsidTr="008042B1">
        <w:trPr>
          <w:trHeight w:val="299"/>
        </w:trPr>
        <w:tc>
          <w:tcPr>
            <w:tcW w:w="2187" w:type="pct"/>
            <w:tcBorders>
              <w:top w:val="nil"/>
              <w:left w:val="single" w:sz="12" w:space="0" w:color="auto"/>
              <w:bottom w:val="nil"/>
            </w:tcBorders>
            <w:shd w:val="clear" w:color="000000" w:fill="FFFFFF"/>
            <w:noWrap/>
            <w:vAlign w:val="center"/>
            <w:hideMark/>
          </w:tcPr>
          <w:p w:rsidR="00F76DC4" w:rsidRPr="00071923" w:rsidRDefault="00F76DC4" w:rsidP="008042B1">
            <w:pPr>
              <w:spacing w:after="0" w:line="240" w:lineRule="auto"/>
              <w:ind w:left="142"/>
              <w:rPr>
                <w:rFonts w:ascii="Arial" w:hAnsi="Arial" w:cs="Arial"/>
                <w:bCs/>
                <w:sz w:val="18"/>
                <w:szCs w:val="18"/>
              </w:rPr>
            </w:pPr>
            <w:r w:rsidRPr="00071923">
              <w:rPr>
                <w:rFonts w:ascii="Arial" w:hAnsi="Arial" w:cs="Arial"/>
                <w:bCs/>
                <w:sz w:val="18"/>
                <w:szCs w:val="18"/>
              </w:rPr>
              <w:t>Kamu Tüketimi</w:t>
            </w:r>
          </w:p>
        </w:tc>
        <w:tc>
          <w:tcPr>
            <w:tcW w:w="545" w:type="pct"/>
            <w:tcBorders>
              <w:top w:val="nil"/>
              <w:bottom w:val="nil"/>
            </w:tcBorders>
            <w:shd w:val="clear" w:color="000000" w:fill="FFFFFF"/>
            <w:noWrap/>
            <w:vAlign w:val="center"/>
            <w:hideMark/>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-11,8</w:t>
            </w:r>
          </w:p>
        </w:tc>
        <w:tc>
          <w:tcPr>
            <w:tcW w:w="546" w:type="pct"/>
            <w:tcBorders>
              <w:top w:val="nil"/>
              <w:bottom w:val="nil"/>
            </w:tcBorders>
            <w:shd w:val="clear" w:color="000000" w:fill="FFFFFF"/>
            <w:noWrap/>
            <w:vAlign w:val="center"/>
            <w:hideMark/>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-11,8</w:t>
            </w:r>
          </w:p>
        </w:tc>
        <w:tc>
          <w:tcPr>
            <w:tcW w:w="542" w:type="pct"/>
            <w:tcBorders>
              <w:top w:val="nil"/>
              <w:bottom w:val="nil"/>
            </w:tcBorders>
            <w:shd w:val="clear" w:color="000000" w:fill="FFFFFF"/>
            <w:noWrap/>
            <w:vAlign w:val="center"/>
            <w:hideMark/>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-11,6</w:t>
            </w:r>
          </w:p>
        </w:tc>
        <w:tc>
          <w:tcPr>
            <w:tcW w:w="634" w:type="pct"/>
            <w:tcBorders>
              <w:top w:val="nil"/>
              <w:bottom w:val="nil"/>
            </w:tcBorders>
            <w:shd w:val="clear" w:color="000000" w:fill="FFFFFF"/>
            <w:noWrap/>
            <w:vAlign w:val="center"/>
            <w:hideMark/>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-11,5</w:t>
            </w:r>
          </w:p>
        </w:tc>
        <w:tc>
          <w:tcPr>
            <w:tcW w:w="546" w:type="pct"/>
            <w:tcBorders>
              <w:top w:val="nil"/>
              <w:bottom w:val="nil"/>
              <w:right w:val="single" w:sz="12" w:space="0" w:color="auto"/>
            </w:tcBorders>
            <w:shd w:val="clear" w:color="000000" w:fill="FFFFFF"/>
            <w:noWrap/>
            <w:vAlign w:val="center"/>
            <w:hideMark/>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-11,3</w:t>
            </w:r>
          </w:p>
        </w:tc>
      </w:tr>
      <w:tr w:rsidR="00F76DC4" w:rsidRPr="00071923" w:rsidTr="008042B1">
        <w:trPr>
          <w:trHeight w:val="299"/>
        </w:trPr>
        <w:tc>
          <w:tcPr>
            <w:tcW w:w="2187" w:type="pct"/>
            <w:tcBorders>
              <w:top w:val="nil"/>
              <w:left w:val="single" w:sz="12" w:space="0" w:color="auto"/>
              <w:bottom w:val="nil"/>
            </w:tcBorders>
            <w:shd w:val="clear" w:color="000000" w:fill="FFFFFF"/>
            <w:noWrap/>
            <w:vAlign w:val="center"/>
            <w:hideMark/>
          </w:tcPr>
          <w:p w:rsidR="00F76DC4" w:rsidRPr="00071923" w:rsidRDefault="00F76DC4" w:rsidP="008042B1">
            <w:pPr>
              <w:spacing w:after="0" w:line="240" w:lineRule="auto"/>
              <w:ind w:left="142"/>
              <w:rPr>
                <w:rFonts w:ascii="Arial" w:hAnsi="Arial" w:cs="Arial"/>
                <w:bCs/>
                <w:sz w:val="18"/>
                <w:szCs w:val="18"/>
              </w:rPr>
            </w:pPr>
            <w:r w:rsidRPr="00071923">
              <w:rPr>
                <w:rFonts w:ascii="Arial" w:hAnsi="Arial" w:cs="Arial"/>
                <w:bCs/>
                <w:sz w:val="18"/>
                <w:szCs w:val="18"/>
              </w:rPr>
              <w:t>Kamu Tasarrufu</w:t>
            </w:r>
          </w:p>
        </w:tc>
        <w:tc>
          <w:tcPr>
            <w:tcW w:w="545" w:type="pct"/>
            <w:tcBorders>
              <w:top w:val="nil"/>
              <w:bottom w:val="nil"/>
            </w:tcBorders>
            <w:shd w:val="clear" w:color="000000" w:fill="FFFFFF"/>
            <w:noWrap/>
            <w:vAlign w:val="center"/>
            <w:hideMark/>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3,4</w:t>
            </w:r>
          </w:p>
        </w:tc>
        <w:tc>
          <w:tcPr>
            <w:tcW w:w="546" w:type="pct"/>
            <w:tcBorders>
              <w:top w:val="nil"/>
              <w:bottom w:val="nil"/>
            </w:tcBorders>
            <w:shd w:val="clear" w:color="000000" w:fill="FFFFFF"/>
            <w:noWrap/>
            <w:vAlign w:val="center"/>
            <w:hideMark/>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3,2</w:t>
            </w:r>
          </w:p>
        </w:tc>
        <w:tc>
          <w:tcPr>
            <w:tcW w:w="542" w:type="pct"/>
            <w:tcBorders>
              <w:top w:val="nil"/>
              <w:bottom w:val="nil"/>
            </w:tcBorders>
            <w:shd w:val="clear" w:color="000000" w:fill="FFFFFF"/>
            <w:noWrap/>
            <w:vAlign w:val="center"/>
            <w:hideMark/>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3,1</w:t>
            </w:r>
          </w:p>
        </w:tc>
        <w:tc>
          <w:tcPr>
            <w:tcW w:w="634" w:type="pct"/>
            <w:tcBorders>
              <w:top w:val="nil"/>
              <w:bottom w:val="nil"/>
            </w:tcBorders>
            <w:shd w:val="clear" w:color="000000" w:fill="FFFFFF"/>
            <w:noWrap/>
            <w:vAlign w:val="center"/>
            <w:hideMark/>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3,6</w:t>
            </w:r>
          </w:p>
        </w:tc>
        <w:tc>
          <w:tcPr>
            <w:tcW w:w="546" w:type="pct"/>
            <w:tcBorders>
              <w:top w:val="nil"/>
              <w:bottom w:val="nil"/>
              <w:right w:val="single" w:sz="12" w:space="0" w:color="auto"/>
            </w:tcBorders>
            <w:shd w:val="clear" w:color="000000" w:fill="FFFFFF"/>
            <w:noWrap/>
            <w:vAlign w:val="center"/>
            <w:hideMark/>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4,0</w:t>
            </w:r>
          </w:p>
        </w:tc>
      </w:tr>
      <w:tr w:rsidR="00F76DC4" w:rsidRPr="00071923" w:rsidTr="008042B1">
        <w:trPr>
          <w:trHeight w:val="299"/>
        </w:trPr>
        <w:tc>
          <w:tcPr>
            <w:tcW w:w="2187" w:type="pct"/>
            <w:tcBorders>
              <w:top w:val="nil"/>
              <w:left w:val="single" w:sz="12" w:space="0" w:color="auto"/>
              <w:bottom w:val="nil"/>
            </w:tcBorders>
            <w:shd w:val="clear" w:color="000000" w:fill="FFFFFF"/>
            <w:noWrap/>
            <w:vAlign w:val="center"/>
            <w:hideMark/>
          </w:tcPr>
          <w:p w:rsidR="00F76DC4" w:rsidRPr="00071923" w:rsidRDefault="00F76DC4" w:rsidP="008042B1">
            <w:pPr>
              <w:spacing w:after="0" w:line="240" w:lineRule="auto"/>
              <w:ind w:left="142"/>
              <w:rPr>
                <w:rFonts w:ascii="Arial" w:hAnsi="Arial" w:cs="Arial"/>
                <w:bCs/>
                <w:sz w:val="18"/>
                <w:szCs w:val="18"/>
              </w:rPr>
            </w:pPr>
            <w:r w:rsidRPr="00071923">
              <w:rPr>
                <w:rFonts w:ascii="Arial" w:hAnsi="Arial" w:cs="Arial"/>
                <w:bCs/>
                <w:sz w:val="18"/>
                <w:szCs w:val="18"/>
              </w:rPr>
              <w:t>Kamu Yatırımı</w:t>
            </w:r>
          </w:p>
        </w:tc>
        <w:tc>
          <w:tcPr>
            <w:tcW w:w="545" w:type="pct"/>
            <w:tcBorders>
              <w:top w:val="nil"/>
              <w:bottom w:val="nil"/>
            </w:tcBorders>
            <w:shd w:val="clear" w:color="000000" w:fill="FFFFFF"/>
            <w:noWrap/>
            <w:vAlign w:val="center"/>
            <w:hideMark/>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-4,9</w:t>
            </w:r>
          </w:p>
        </w:tc>
        <w:tc>
          <w:tcPr>
            <w:tcW w:w="546" w:type="pct"/>
            <w:tcBorders>
              <w:top w:val="nil"/>
              <w:bottom w:val="nil"/>
            </w:tcBorders>
            <w:shd w:val="clear" w:color="000000" w:fill="FFFFFF"/>
            <w:noWrap/>
            <w:vAlign w:val="center"/>
            <w:hideMark/>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-4,8</w:t>
            </w:r>
          </w:p>
        </w:tc>
        <w:tc>
          <w:tcPr>
            <w:tcW w:w="542" w:type="pct"/>
            <w:tcBorders>
              <w:top w:val="nil"/>
              <w:bottom w:val="nil"/>
            </w:tcBorders>
            <w:shd w:val="clear" w:color="000000" w:fill="FFFFFF"/>
            <w:noWrap/>
            <w:vAlign w:val="center"/>
            <w:hideMark/>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-4,5</w:t>
            </w:r>
          </w:p>
        </w:tc>
        <w:tc>
          <w:tcPr>
            <w:tcW w:w="634" w:type="pct"/>
            <w:tcBorders>
              <w:top w:val="nil"/>
              <w:bottom w:val="nil"/>
            </w:tcBorders>
            <w:shd w:val="clear" w:color="000000" w:fill="FFFFFF"/>
            <w:noWrap/>
            <w:vAlign w:val="center"/>
            <w:hideMark/>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-4,6</w:t>
            </w:r>
          </w:p>
        </w:tc>
        <w:tc>
          <w:tcPr>
            <w:tcW w:w="546" w:type="pct"/>
            <w:tcBorders>
              <w:top w:val="nil"/>
              <w:bottom w:val="nil"/>
              <w:right w:val="single" w:sz="12" w:space="0" w:color="auto"/>
            </w:tcBorders>
            <w:shd w:val="clear" w:color="000000" w:fill="FFFFFF"/>
            <w:noWrap/>
            <w:vAlign w:val="center"/>
            <w:hideMark/>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-4,6</w:t>
            </w:r>
          </w:p>
        </w:tc>
      </w:tr>
      <w:tr w:rsidR="00F76DC4" w:rsidRPr="00071923" w:rsidTr="008042B1">
        <w:trPr>
          <w:trHeight w:val="299"/>
        </w:trPr>
        <w:tc>
          <w:tcPr>
            <w:tcW w:w="2187" w:type="pct"/>
            <w:tcBorders>
              <w:top w:val="nil"/>
              <w:left w:val="single" w:sz="12" w:space="0" w:color="auto"/>
              <w:bottom w:val="nil"/>
            </w:tcBorders>
            <w:shd w:val="clear" w:color="000000" w:fill="FFFFFF"/>
            <w:noWrap/>
            <w:vAlign w:val="center"/>
            <w:hideMark/>
          </w:tcPr>
          <w:p w:rsidR="00F76DC4" w:rsidRPr="00071923" w:rsidRDefault="00F76DC4" w:rsidP="008042B1">
            <w:pPr>
              <w:spacing w:after="0" w:line="240" w:lineRule="auto"/>
              <w:ind w:left="142"/>
              <w:rPr>
                <w:rFonts w:ascii="Arial" w:hAnsi="Arial" w:cs="Arial"/>
                <w:bCs/>
                <w:sz w:val="18"/>
                <w:szCs w:val="18"/>
              </w:rPr>
            </w:pPr>
            <w:r w:rsidRPr="00071923">
              <w:rPr>
                <w:rFonts w:ascii="Arial" w:hAnsi="Arial" w:cs="Arial"/>
                <w:bCs/>
                <w:sz w:val="18"/>
                <w:szCs w:val="18"/>
              </w:rPr>
              <w:t>Kamu Tasarruf Yatırım Farkı</w:t>
            </w:r>
          </w:p>
        </w:tc>
        <w:tc>
          <w:tcPr>
            <w:tcW w:w="545" w:type="pct"/>
            <w:tcBorders>
              <w:top w:val="nil"/>
              <w:bottom w:val="nil"/>
            </w:tcBorders>
            <w:shd w:val="clear" w:color="000000" w:fill="FFFFFF"/>
            <w:noWrap/>
            <w:vAlign w:val="center"/>
            <w:hideMark/>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-1,</w:t>
            </w:r>
            <w:r>
              <w:rPr>
                <w:rFonts w:ascii="Arial" w:hAnsi="Arial" w:cs="Arial"/>
                <w:bCs/>
                <w:sz w:val="18"/>
                <w:szCs w:val="18"/>
              </w:rPr>
              <w:t>5</w:t>
            </w:r>
          </w:p>
        </w:tc>
        <w:tc>
          <w:tcPr>
            <w:tcW w:w="546" w:type="pct"/>
            <w:tcBorders>
              <w:top w:val="nil"/>
              <w:bottom w:val="nil"/>
            </w:tcBorders>
            <w:shd w:val="clear" w:color="000000" w:fill="FFFFFF"/>
            <w:noWrap/>
            <w:vAlign w:val="center"/>
            <w:hideMark/>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-1,6</w:t>
            </w:r>
          </w:p>
        </w:tc>
        <w:tc>
          <w:tcPr>
            <w:tcW w:w="542" w:type="pct"/>
            <w:tcBorders>
              <w:top w:val="nil"/>
              <w:bottom w:val="nil"/>
            </w:tcBorders>
            <w:shd w:val="clear" w:color="000000" w:fill="FFFFFF"/>
            <w:noWrap/>
            <w:vAlign w:val="center"/>
            <w:hideMark/>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-1,4</w:t>
            </w:r>
          </w:p>
        </w:tc>
        <w:tc>
          <w:tcPr>
            <w:tcW w:w="634" w:type="pct"/>
            <w:tcBorders>
              <w:top w:val="nil"/>
              <w:bottom w:val="nil"/>
            </w:tcBorders>
            <w:shd w:val="clear" w:color="000000" w:fill="FFFFFF"/>
            <w:noWrap/>
            <w:vAlign w:val="center"/>
            <w:hideMark/>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-1,1</w:t>
            </w:r>
          </w:p>
        </w:tc>
        <w:tc>
          <w:tcPr>
            <w:tcW w:w="546" w:type="pct"/>
            <w:tcBorders>
              <w:top w:val="nil"/>
              <w:bottom w:val="nil"/>
              <w:right w:val="single" w:sz="12" w:space="0" w:color="auto"/>
            </w:tcBorders>
            <w:shd w:val="clear" w:color="000000" w:fill="FFFFFF"/>
            <w:noWrap/>
            <w:vAlign w:val="center"/>
            <w:hideMark/>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-0,6</w:t>
            </w:r>
          </w:p>
        </w:tc>
      </w:tr>
      <w:tr w:rsidR="00F76DC4" w:rsidRPr="00071923" w:rsidTr="008042B1">
        <w:trPr>
          <w:trHeight w:val="299"/>
        </w:trPr>
        <w:tc>
          <w:tcPr>
            <w:tcW w:w="2187" w:type="pct"/>
            <w:tcBorders>
              <w:top w:val="nil"/>
              <w:left w:val="single" w:sz="12" w:space="0" w:color="auto"/>
              <w:bottom w:val="nil"/>
            </w:tcBorders>
            <w:shd w:val="clear" w:color="000000" w:fill="FFFFFF"/>
            <w:noWrap/>
            <w:vAlign w:val="center"/>
          </w:tcPr>
          <w:p w:rsidR="00F76DC4" w:rsidRPr="00071923" w:rsidRDefault="00F76DC4" w:rsidP="008042B1">
            <w:pPr>
              <w:spacing w:after="0" w:line="240" w:lineRule="auto"/>
              <w:ind w:left="142"/>
              <w:rPr>
                <w:rFonts w:ascii="Arial" w:hAnsi="Arial" w:cs="Arial"/>
                <w:bCs/>
                <w:sz w:val="18"/>
                <w:szCs w:val="18"/>
              </w:rPr>
            </w:pPr>
            <w:r w:rsidRPr="00071923">
              <w:rPr>
                <w:rFonts w:ascii="Arial" w:eastAsia="Times New Roman" w:hAnsi="Arial" w:cs="Arial"/>
                <w:sz w:val="18"/>
                <w:szCs w:val="18"/>
                <w:lang w:eastAsia="tr-TR"/>
              </w:rPr>
              <w:t>Kamu Kesimi Özelleştirme Geliri</w:t>
            </w:r>
          </w:p>
        </w:tc>
        <w:tc>
          <w:tcPr>
            <w:tcW w:w="545" w:type="pct"/>
            <w:tcBorders>
              <w:top w:val="nil"/>
              <w:bottom w:val="nil"/>
            </w:tcBorders>
            <w:shd w:val="clear" w:color="000000" w:fill="FFFFFF"/>
            <w:noWrap/>
            <w:vAlign w:val="center"/>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0,8</w:t>
            </w:r>
          </w:p>
        </w:tc>
        <w:tc>
          <w:tcPr>
            <w:tcW w:w="546" w:type="pct"/>
            <w:tcBorders>
              <w:top w:val="nil"/>
              <w:bottom w:val="nil"/>
            </w:tcBorders>
            <w:shd w:val="clear" w:color="000000" w:fill="FFFFFF"/>
            <w:noWrap/>
            <w:vAlign w:val="center"/>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0,6</w:t>
            </w:r>
          </w:p>
        </w:tc>
        <w:tc>
          <w:tcPr>
            <w:tcW w:w="542" w:type="pct"/>
            <w:tcBorders>
              <w:top w:val="nil"/>
              <w:bottom w:val="nil"/>
            </w:tcBorders>
            <w:shd w:val="clear" w:color="000000" w:fill="FFFFFF"/>
            <w:noWrap/>
            <w:vAlign w:val="center"/>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0,6</w:t>
            </w:r>
          </w:p>
        </w:tc>
        <w:tc>
          <w:tcPr>
            <w:tcW w:w="634" w:type="pct"/>
            <w:tcBorders>
              <w:top w:val="nil"/>
              <w:bottom w:val="nil"/>
            </w:tcBorders>
            <w:shd w:val="clear" w:color="000000" w:fill="FFFFFF"/>
            <w:noWrap/>
            <w:vAlign w:val="center"/>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0,5</w:t>
            </w:r>
          </w:p>
        </w:tc>
        <w:tc>
          <w:tcPr>
            <w:tcW w:w="546" w:type="pct"/>
            <w:tcBorders>
              <w:top w:val="nil"/>
              <w:bottom w:val="nil"/>
              <w:right w:val="single" w:sz="12" w:space="0" w:color="auto"/>
            </w:tcBorders>
            <w:shd w:val="clear" w:color="000000" w:fill="FFFFFF"/>
            <w:noWrap/>
            <w:vAlign w:val="center"/>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0,2</w:t>
            </w:r>
          </w:p>
        </w:tc>
      </w:tr>
      <w:tr w:rsidR="00F76DC4" w:rsidRPr="00071923" w:rsidTr="008042B1">
        <w:trPr>
          <w:trHeight w:val="299"/>
        </w:trPr>
        <w:tc>
          <w:tcPr>
            <w:tcW w:w="2187" w:type="pct"/>
            <w:tcBorders>
              <w:top w:val="nil"/>
              <w:left w:val="single" w:sz="12" w:space="0" w:color="auto"/>
              <w:bottom w:val="nil"/>
            </w:tcBorders>
            <w:shd w:val="clear" w:color="000000" w:fill="FFFFFF"/>
            <w:noWrap/>
            <w:vAlign w:val="center"/>
          </w:tcPr>
          <w:p w:rsidR="00F76DC4" w:rsidRPr="00071923" w:rsidRDefault="00F76DC4" w:rsidP="008042B1">
            <w:pPr>
              <w:spacing w:after="0" w:line="240" w:lineRule="auto"/>
              <w:ind w:left="142"/>
              <w:rPr>
                <w:rFonts w:ascii="Arial" w:hAnsi="Arial" w:cs="Arial"/>
                <w:bCs/>
                <w:sz w:val="18"/>
                <w:szCs w:val="18"/>
              </w:rPr>
            </w:pPr>
            <w:r w:rsidRPr="00071923">
              <w:rPr>
                <w:rFonts w:ascii="Arial" w:hAnsi="Arial" w:cs="Arial"/>
                <w:bCs/>
                <w:sz w:val="18"/>
                <w:szCs w:val="18"/>
              </w:rPr>
              <w:t>Vergi Yükü (Sosyal Güvenlik Primleri Dâhil) (1)</w:t>
            </w:r>
          </w:p>
        </w:tc>
        <w:tc>
          <w:tcPr>
            <w:tcW w:w="545" w:type="pct"/>
            <w:tcBorders>
              <w:top w:val="nil"/>
              <w:bottom w:val="nil"/>
            </w:tcBorders>
            <w:shd w:val="clear" w:color="000000" w:fill="FFFFFF"/>
            <w:noWrap/>
            <w:vAlign w:val="center"/>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29,0</w:t>
            </w:r>
          </w:p>
        </w:tc>
        <w:tc>
          <w:tcPr>
            <w:tcW w:w="546" w:type="pct"/>
            <w:tcBorders>
              <w:top w:val="nil"/>
              <w:bottom w:val="nil"/>
            </w:tcBorders>
            <w:shd w:val="clear" w:color="000000" w:fill="FFFFFF"/>
            <w:noWrap/>
            <w:vAlign w:val="center"/>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28,1</w:t>
            </w:r>
          </w:p>
        </w:tc>
        <w:tc>
          <w:tcPr>
            <w:tcW w:w="542" w:type="pct"/>
            <w:tcBorders>
              <w:top w:val="nil"/>
              <w:bottom w:val="nil"/>
            </w:tcBorders>
            <w:shd w:val="clear" w:color="000000" w:fill="FFFFFF"/>
            <w:noWrap/>
            <w:vAlign w:val="center"/>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28,5</w:t>
            </w:r>
          </w:p>
        </w:tc>
        <w:tc>
          <w:tcPr>
            <w:tcW w:w="634" w:type="pct"/>
            <w:tcBorders>
              <w:top w:val="nil"/>
              <w:bottom w:val="nil"/>
            </w:tcBorders>
            <w:shd w:val="clear" w:color="000000" w:fill="FFFFFF"/>
            <w:noWrap/>
            <w:vAlign w:val="center"/>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28,4</w:t>
            </w:r>
          </w:p>
        </w:tc>
        <w:tc>
          <w:tcPr>
            <w:tcW w:w="546" w:type="pct"/>
            <w:tcBorders>
              <w:top w:val="nil"/>
              <w:bottom w:val="nil"/>
              <w:right w:val="single" w:sz="12" w:space="0" w:color="auto"/>
            </w:tcBorders>
            <w:shd w:val="clear" w:color="000000" w:fill="FFFFFF"/>
            <w:noWrap/>
            <w:vAlign w:val="center"/>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28,2</w:t>
            </w:r>
          </w:p>
        </w:tc>
      </w:tr>
      <w:tr w:rsidR="00F76DC4" w:rsidRPr="00071923" w:rsidTr="008042B1">
        <w:trPr>
          <w:trHeight w:val="299"/>
        </w:trPr>
        <w:tc>
          <w:tcPr>
            <w:tcW w:w="2187" w:type="pct"/>
            <w:tcBorders>
              <w:top w:val="nil"/>
              <w:left w:val="single" w:sz="12" w:space="0" w:color="auto"/>
              <w:bottom w:val="nil"/>
            </w:tcBorders>
            <w:shd w:val="clear" w:color="000000" w:fill="FFFFFF"/>
            <w:noWrap/>
            <w:vAlign w:val="center"/>
          </w:tcPr>
          <w:p w:rsidR="00F76DC4" w:rsidRPr="00071923" w:rsidRDefault="00F76DC4" w:rsidP="008042B1">
            <w:pPr>
              <w:spacing w:after="0" w:line="240" w:lineRule="auto"/>
              <w:ind w:left="142"/>
              <w:rPr>
                <w:rFonts w:ascii="Arial" w:hAnsi="Arial" w:cs="Arial"/>
                <w:bCs/>
                <w:sz w:val="18"/>
                <w:szCs w:val="18"/>
              </w:rPr>
            </w:pPr>
            <w:r w:rsidRPr="00071923">
              <w:rPr>
                <w:rFonts w:ascii="Arial" w:hAnsi="Arial" w:cs="Arial"/>
                <w:bCs/>
                <w:sz w:val="18"/>
                <w:szCs w:val="18"/>
              </w:rPr>
              <w:t>Vergi Yükü (Sosyal Güvenlik Primleri Hariç) (1)</w:t>
            </w:r>
          </w:p>
        </w:tc>
        <w:tc>
          <w:tcPr>
            <w:tcW w:w="545" w:type="pct"/>
            <w:tcBorders>
              <w:top w:val="nil"/>
              <w:bottom w:val="nil"/>
            </w:tcBorders>
            <w:shd w:val="clear" w:color="000000" w:fill="FFFFFF"/>
            <w:noWrap/>
            <w:vAlign w:val="center"/>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21,5</w:t>
            </w:r>
          </w:p>
        </w:tc>
        <w:tc>
          <w:tcPr>
            <w:tcW w:w="546" w:type="pct"/>
            <w:tcBorders>
              <w:top w:val="nil"/>
              <w:bottom w:val="nil"/>
            </w:tcBorders>
            <w:shd w:val="clear" w:color="000000" w:fill="FFFFFF"/>
            <w:noWrap/>
            <w:vAlign w:val="center"/>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20,5</w:t>
            </w:r>
          </w:p>
        </w:tc>
        <w:tc>
          <w:tcPr>
            <w:tcW w:w="542" w:type="pct"/>
            <w:tcBorders>
              <w:top w:val="nil"/>
              <w:bottom w:val="nil"/>
            </w:tcBorders>
            <w:shd w:val="clear" w:color="000000" w:fill="FFFFFF"/>
            <w:noWrap/>
            <w:vAlign w:val="center"/>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20,7</w:t>
            </w:r>
          </w:p>
        </w:tc>
        <w:tc>
          <w:tcPr>
            <w:tcW w:w="634" w:type="pct"/>
            <w:tcBorders>
              <w:top w:val="nil"/>
              <w:bottom w:val="nil"/>
            </w:tcBorders>
            <w:shd w:val="clear" w:color="000000" w:fill="FFFFFF"/>
            <w:noWrap/>
            <w:vAlign w:val="center"/>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20,7</w:t>
            </w:r>
          </w:p>
        </w:tc>
        <w:tc>
          <w:tcPr>
            <w:tcW w:w="546" w:type="pct"/>
            <w:tcBorders>
              <w:top w:val="nil"/>
              <w:bottom w:val="nil"/>
              <w:right w:val="single" w:sz="12" w:space="0" w:color="auto"/>
            </w:tcBorders>
            <w:shd w:val="clear" w:color="000000" w:fill="FFFFFF"/>
            <w:noWrap/>
            <w:vAlign w:val="center"/>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20,6</w:t>
            </w:r>
          </w:p>
        </w:tc>
      </w:tr>
      <w:tr w:rsidR="00F76DC4" w:rsidRPr="00071923" w:rsidTr="008042B1">
        <w:trPr>
          <w:trHeight w:val="299"/>
        </w:trPr>
        <w:tc>
          <w:tcPr>
            <w:tcW w:w="2187" w:type="pct"/>
            <w:tcBorders>
              <w:top w:val="nil"/>
              <w:left w:val="single" w:sz="12" w:space="0" w:color="auto"/>
              <w:bottom w:val="single" w:sz="12" w:space="0" w:color="auto"/>
            </w:tcBorders>
            <w:shd w:val="clear" w:color="000000" w:fill="FFFFFF"/>
            <w:noWrap/>
            <w:vAlign w:val="center"/>
          </w:tcPr>
          <w:p w:rsidR="00F76DC4" w:rsidRPr="00071923" w:rsidRDefault="00F76DC4" w:rsidP="008042B1">
            <w:pPr>
              <w:spacing w:after="0" w:line="240" w:lineRule="auto"/>
              <w:ind w:left="142"/>
              <w:rPr>
                <w:rFonts w:ascii="Arial" w:hAnsi="Arial" w:cs="Arial"/>
                <w:bCs/>
                <w:sz w:val="18"/>
                <w:szCs w:val="18"/>
              </w:rPr>
            </w:pPr>
            <w:r w:rsidRPr="00071923">
              <w:rPr>
                <w:rFonts w:ascii="Arial" w:hAnsi="Arial" w:cs="Arial"/>
                <w:bCs/>
                <w:sz w:val="18"/>
                <w:szCs w:val="18"/>
              </w:rPr>
              <w:t>AB Tanımlı Genel Devlet Borç Stoku</w:t>
            </w:r>
          </w:p>
        </w:tc>
        <w:tc>
          <w:tcPr>
            <w:tcW w:w="545" w:type="pct"/>
            <w:tcBorders>
              <w:top w:val="nil"/>
              <w:bottom w:val="single" w:sz="12" w:space="0" w:color="auto"/>
            </w:tcBorders>
            <w:shd w:val="clear" w:color="000000" w:fill="FFFFFF"/>
            <w:noWrap/>
            <w:vAlign w:val="center"/>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36,2</w:t>
            </w:r>
          </w:p>
        </w:tc>
        <w:tc>
          <w:tcPr>
            <w:tcW w:w="546" w:type="pct"/>
            <w:tcBorders>
              <w:top w:val="nil"/>
              <w:bottom w:val="single" w:sz="12" w:space="0" w:color="auto"/>
            </w:tcBorders>
            <w:shd w:val="clear" w:color="000000" w:fill="FFFFFF"/>
            <w:noWrap/>
            <w:vAlign w:val="center"/>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33,1</w:t>
            </w:r>
          </w:p>
        </w:tc>
        <w:tc>
          <w:tcPr>
            <w:tcW w:w="542" w:type="pct"/>
            <w:tcBorders>
              <w:top w:val="nil"/>
              <w:bottom w:val="single" w:sz="12" w:space="0" w:color="auto"/>
            </w:tcBorders>
            <w:shd w:val="clear" w:color="000000" w:fill="FFFFFF"/>
            <w:noWrap/>
            <w:vAlign w:val="center"/>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31,8</w:t>
            </w:r>
          </w:p>
        </w:tc>
        <w:tc>
          <w:tcPr>
            <w:tcW w:w="634" w:type="pct"/>
            <w:tcBorders>
              <w:top w:val="nil"/>
              <w:bottom w:val="single" w:sz="12" w:space="0" w:color="auto"/>
            </w:tcBorders>
            <w:shd w:val="clear" w:color="000000" w:fill="FFFFFF"/>
            <w:noWrap/>
            <w:vAlign w:val="center"/>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30,0</w:t>
            </w:r>
          </w:p>
        </w:tc>
        <w:tc>
          <w:tcPr>
            <w:tcW w:w="546" w:type="pct"/>
            <w:tcBorders>
              <w:top w:val="nil"/>
              <w:bottom w:val="single" w:sz="12" w:space="0" w:color="auto"/>
              <w:right w:val="single" w:sz="12" w:space="0" w:color="auto"/>
            </w:tcBorders>
            <w:shd w:val="clear" w:color="000000" w:fill="FFFFFF"/>
            <w:noWrap/>
            <w:vAlign w:val="center"/>
          </w:tcPr>
          <w:p w:rsidR="00F76DC4" w:rsidRPr="00571586" w:rsidRDefault="00F76DC4" w:rsidP="008042B1">
            <w:pPr>
              <w:spacing w:after="0" w:line="240" w:lineRule="auto"/>
              <w:ind w:left="142"/>
              <w:jc w:val="right"/>
              <w:rPr>
                <w:rFonts w:ascii="Arial" w:hAnsi="Arial" w:cs="Arial"/>
                <w:bCs/>
                <w:sz w:val="18"/>
                <w:szCs w:val="18"/>
              </w:rPr>
            </w:pPr>
            <w:r w:rsidRPr="00571586">
              <w:rPr>
                <w:rFonts w:ascii="Arial" w:hAnsi="Arial" w:cs="Arial"/>
                <w:bCs/>
                <w:sz w:val="18"/>
                <w:szCs w:val="18"/>
              </w:rPr>
              <w:t>28,5</w:t>
            </w:r>
          </w:p>
        </w:tc>
      </w:tr>
    </w:tbl>
    <w:p w:rsidR="00F76DC4" w:rsidRDefault="00F76DC4" w:rsidP="00F76DC4">
      <w:pPr>
        <w:spacing w:after="0" w:line="240" w:lineRule="auto"/>
        <w:ind w:left="57"/>
        <w:rPr>
          <w:rFonts w:ascii="Arial" w:hAnsi="Arial" w:cs="Arial"/>
          <w:sz w:val="16"/>
        </w:rPr>
      </w:pPr>
      <w:r w:rsidRPr="00071923">
        <w:rPr>
          <w:rFonts w:ascii="Arial" w:hAnsi="Arial" w:cs="Arial"/>
          <w:sz w:val="16"/>
        </w:rPr>
        <w:t xml:space="preserve">(1) </w:t>
      </w:r>
      <w:proofErr w:type="spellStart"/>
      <w:r w:rsidRPr="00071923">
        <w:rPr>
          <w:rFonts w:ascii="Arial" w:hAnsi="Arial" w:cs="Arial"/>
          <w:sz w:val="16"/>
        </w:rPr>
        <w:t>Red</w:t>
      </w:r>
      <w:proofErr w:type="spellEnd"/>
      <w:r w:rsidRPr="00071923">
        <w:rPr>
          <w:rFonts w:ascii="Arial" w:hAnsi="Arial" w:cs="Arial"/>
          <w:sz w:val="16"/>
        </w:rPr>
        <w:t xml:space="preserve"> ve iadeler hariçtir.</w:t>
      </w:r>
    </w:p>
    <w:p w:rsidR="00F76DC4" w:rsidRPr="00471C4A" w:rsidRDefault="00F76DC4" w:rsidP="00F76DC4">
      <w:pPr>
        <w:spacing w:after="0" w:line="240" w:lineRule="auto"/>
        <w:ind w:left="57"/>
        <w:rPr>
          <w:rFonts w:ascii="Arial" w:hAnsi="Arial" w:cs="Arial"/>
          <w:sz w:val="16"/>
          <w:szCs w:val="18"/>
        </w:rPr>
      </w:pPr>
      <w:r w:rsidRPr="00471C4A">
        <w:rPr>
          <w:rFonts w:ascii="Arial" w:hAnsi="Arial" w:cs="Arial"/>
          <w:sz w:val="16"/>
          <w:szCs w:val="18"/>
        </w:rPr>
        <w:t>GT: Gerçekleşme tahmini</w:t>
      </w:r>
    </w:p>
    <w:p w:rsidR="00F76DC4" w:rsidRDefault="00F76DC4" w:rsidP="00F76DC4">
      <w:pPr>
        <w:spacing w:after="0" w:line="240" w:lineRule="auto"/>
        <w:ind w:left="57"/>
        <w:rPr>
          <w:rFonts w:ascii="Arial" w:hAnsi="Arial" w:cs="Arial"/>
          <w:sz w:val="16"/>
          <w:szCs w:val="18"/>
        </w:rPr>
      </w:pPr>
      <w:r w:rsidRPr="00471C4A">
        <w:rPr>
          <w:rFonts w:ascii="Arial" w:hAnsi="Arial" w:cs="Arial"/>
          <w:sz w:val="16"/>
          <w:szCs w:val="18"/>
        </w:rPr>
        <w:t>P: Program</w:t>
      </w:r>
    </w:p>
    <w:p w:rsidR="00F76DC4" w:rsidRDefault="00F76DC4" w:rsidP="00F76DC4">
      <w:pPr>
        <w:tabs>
          <w:tab w:val="left" w:pos="567"/>
        </w:tabs>
        <w:spacing w:after="120" w:line="240" w:lineRule="auto"/>
        <w:rPr>
          <w:rFonts w:ascii="Arial" w:hAnsi="Arial" w:cs="Arial"/>
          <w:sz w:val="24"/>
          <w:szCs w:val="24"/>
        </w:rPr>
      </w:pPr>
    </w:p>
    <w:p w:rsidR="00F76DC4" w:rsidRDefault="00F76DC4" w:rsidP="00F76DC4">
      <w:pPr>
        <w:tabs>
          <w:tab w:val="left" w:pos="567"/>
        </w:tabs>
        <w:spacing w:after="120" w:line="240" w:lineRule="auto"/>
        <w:rPr>
          <w:rFonts w:ascii="Arial" w:hAnsi="Arial" w:cs="Arial"/>
          <w:sz w:val="24"/>
          <w:szCs w:val="24"/>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80"/>
        <w:gridCol w:w="987"/>
        <w:gridCol w:w="951"/>
        <w:gridCol w:w="992"/>
        <w:gridCol w:w="1000"/>
      </w:tblGrid>
      <w:tr w:rsidR="00F76DC4" w:rsidRPr="00071923" w:rsidTr="008042B1">
        <w:trPr>
          <w:trHeight w:val="300"/>
        </w:trPr>
        <w:tc>
          <w:tcPr>
            <w:tcW w:w="9129" w:type="dxa"/>
            <w:gridSpan w:val="6"/>
            <w:tcBorders>
              <w:top w:val="nil"/>
              <w:left w:val="nil"/>
              <w:bottom w:val="single" w:sz="12" w:space="0" w:color="auto"/>
              <w:right w:val="nil"/>
            </w:tcBorders>
            <w:shd w:val="clear" w:color="auto" w:fill="auto"/>
            <w:noWrap/>
          </w:tcPr>
          <w:p w:rsidR="00F76DC4" w:rsidRPr="00071923" w:rsidRDefault="00F76DC4" w:rsidP="008042B1">
            <w:pPr>
              <w:spacing w:after="0" w:line="240" w:lineRule="auto"/>
              <w:rPr>
                <w:rFonts w:ascii="Arial" w:eastAsia="Times New Roman" w:hAnsi="Arial" w:cs="Arial"/>
                <w:b/>
                <w:bCs/>
                <w:sz w:val="16"/>
                <w:szCs w:val="16"/>
                <w:lang w:eastAsia="tr-TR"/>
              </w:rPr>
            </w:pPr>
            <w:r w:rsidRPr="00071923">
              <w:rPr>
                <w:rFonts w:ascii="Arial" w:hAnsi="Arial" w:cs="Arial"/>
                <w:b/>
              </w:rPr>
              <w:lastRenderedPageBreak/>
              <w:t>Ek Tablo 5: Genel Devlet Dengesi (1)</w:t>
            </w:r>
          </w:p>
        </w:tc>
      </w:tr>
      <w:tr w:rsidR="00F76DC4" w:rsidRPr="00071923" w:rsidTr="008042B1">
        <w:trPr>
          <w:trHeight w:val="300"/>
        </w:trPr>
        <w:tc>
          <w:tcPr>
            <w:tcW w:w="4219" w:type="dxa"/>
            <w:tcBorders>
              <w:top w:val="nil"/>
              <w:left w:val="single" w:sz="12" w:space="0" w:color="auto"/>
              <w:bottom w:val="single" w:sz="12" w:space="0" w:color="auto"/>
            </w:tcBorders>
            <w:shd w:val="clear" w:color="auto" w:fill="auto"/>
            <w:noWrap/>
            <w:hideMark/>
          </w:tcPr>
          <w:p w:rsidR="00F76DC4" w:rsidRPr="00071923" w:rsidRDefault="00F76DC4" w:rsidP="008042B1">
            <w:pPr>
              <w:spacing w:after="0" w:line="240" w:lineRule="auto"/>
              <w:rPr>
                <w:rFonts w:ascii="Arial" w:eastAsia="Times New Roman" w:hAnsi="Arial" w:cs="Arial"/>
                <w:sz w:val="18"/>
                <w:szCs w:val="18"/>
                <w:lang w:eastAsia="tr-TR"/>
              </w:rPr>
            </w:pPr>
            <w:r w:rsidRPr="00071923">
              <w:rPr>
                <w:rFonts w:ascii="Arial" w:eastAsia="Times New Roman" w:hAnsi="Arial" w:cs="Arial"/>
                <w:sz w:val="18"/>
                <w:szCs w:val="18"/>
                <w:lang w:eastAsia="tr-TR"/>
              </w:rPr>
              <w:t> </w:t>
            </w:r>
          </w:p>
        </w:tc>
        <w:tc>
          <w:tcPr>
            <w:tcW w:w="980" w:type="dxa"/>
            <w:tcBorders>
              <w:top w:val="nil"/>
              <w:bottom w:val="single" w:sz="12" w:space="0" w:color="auto"/>
            </w:tcBorders>
            <w:shd w:val="clear" w:color="auto" w:fill="auto"/>
            <w:noWrap/>
            <w:vAlign w:val="center"/>
            <w:hideMark/>
          </w:tcPr>
          <w:p w:rsidR="00F76DC4" w:rsidRPr="00071923" w:rsidRDefault="00F76DC4" w:rsidP="008042B1">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w:t>
            </w:r>
            <w:r>
              <w:rPr>
                <w:rFonts w:ascii="Arial" w:eastAsia="Times New Roman" w:hAnsi="Arial" w:cs="Arial"/>
                <w:b/>
                <w:bCs/>
                <w:sz w:val="18"/>
                <w:szCs w:val="18"/>
                <w:lang w:eastAsia="tr-TR"/>
              </w:rPr>
              <w:t>3</w:t>
            </w:r>
          </w:p>
        </w:tc>
        <w:tc>
          <w:tcPr>
            <w:tcW w:w="987" w:type="dxa"/>
            <w:tcBorders>
              <w:top w:val="nil"/>
              <w:bottom w:val="single" w:sz="12" w:space="0" w:color="auto"/>
            </w:tcBorders>
            <w:shd w:val="clear" w:color="auto" w:fill="auto"/>
            <w:noWrap/>
            <w:vAlign w:val="center"/>
            <w:hideMark/>
          </w:tcPr>
          <w:p w:rsidR="00F76DC4" w:rsidRPr="00071923" w:rsidRDefault="00F76DC4" w:rsidP="008042B1">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w:t>
            </w:r>
            <w:r>
              <w:rPr>
                <w:rFonts w:ascii="Arial" w:eastAsia="Times New Roman" w:hAnsi="Arial" w:cs="Arial"/>
                <w:b/>
                <w:bCs/>
                <w:sz w:val="18"/>
                <w:szCs w:val="18"/>
                <w:lang w:eastAsia="tr-TR"/>
              </w:rPr>
              <w:t>4(</w:t>
            </w:r>
            <w:r w:rsidRPr="00071923">
              <w:rPr>
                <w:rFonts w:ascii="Arial" w:eastAsia="Times New Roman" w:hAnsi="Arial" w:cs="Arial"/>
                <w:b/>
                <w:bCs/>
                <w:sz w:val="18"/>
                <w:szCs w:val="18"/>
                <w:lang w:eastAsia="tr-TR"/>
              </w:rPr>
              <w:t>GT</w:t>
            </w:r>
            <w:r>
              <w:rPr>
                <w:rFonts w:ascii="Arial" w:eastAsia="Times New Roman" w:hAnsi="Arial" w:cs="Arial"/>
                <w:b/>
                <w:bCs/>
                <w:sz w:val="18"/>
                <w:szCs w:val="18"/>
                <w:lang w:eastAsia="tr-TR"/>
              </w:rPr>
              <w:t>)</w:t>
            </w:r>
          </w:p>
        </w:tc>
        <w:tc>
          <w:tcPr>
            <w:tcW w:w="951" w:type="dxa"/>
            <w:tcBorders>
              <w:bottom w:val="single" w:sz="12" w:space="0" w:color="auto"/>
            </w:tcBorders>
            <w:shd w:val="clear" w:color="auto" w:fill="auto"/>
            <w:noWrap/>
            <w:vAlign w:val="center"/>
            <w:hideMark/>
          </w:tcPr>
          <w:p w:rsidR="00F76DC4" w:rsidRPr="00071923" w:rsidRDefault="00F76DC4" w:rsidP="008042B1">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w:t>
            </w:r>
            <w:r>
              <w:rPr>
                <w:rFonts w:ascii="Arial" w:eastAsia="Times New Roman" w:hAnsi="Arial" w:cs="Arial"/>
                <w:b/>
                <w:bCs/>
                <w:sz w:val="18"/>
                <w:szCs w:val="18"/>
                <w:lang w:eastAsia="tr-TR"/>
              </w:rPr>
              <w:t>5 (P)</w:t>
            </w:r>
          </w:p>
        </w:tc>
        <w:tc>
          <w:tcPr>
            <w:tcW w:w="992" w:type="dxa"/>
            <w:tcBorders>
              <w:bottom w:val="single" w:sz="12" w:space="0" w:color="auto"/>
            </w:tcBorders>
            <w:shd w:val="clear" w:color="auto" w:fill="auto"/>
            <w:noWrap/>
            <w:vAlign w:val="center"/>
            <w:hideMark/>
          </w:tcPr>
          <w:p w:rsidR="00F76DC4" w:rsidRPr="00071923" w:rsidRDefault="00F76DC4" w:rsidP="008042B1">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w:t>
            </w:r>
            <w:r>
              <w:rPr>
                <w:rFonts w:ascii="Arial" w:eastAsia="Times New Roman" w:hAnsi="Arial" w:cs="Arial"/>
                <w:b/>
                <w:bCs/>
                <w:sz w:val="18"/>
                <w:szCs w:val="18"/>
                <w:lang w:eastAsia="tr-TR"/>
              </w:rPr>
              <w:t>6 (P)</w:t>
            </w:r>
          </w:p>
        </w:tc>
        <w:tc>
          <w:tcPr>
            <w:tcW w:w="1000" w:type="dxa"/>
            <w:tcBorders>
              <w:bottom w:val="single" w:sz="12" w:space="0" w:color="auto"/>
              <w:right w:val="single" w:sz="12" w:space="0" w:color="auto"/>
            </w:tcBorders>
            <w:shd w:val="clear" w:color="auto" w:fill="auto"/>
            <w:noWrap/>
            <w:vAlign w:val="center"/>
            <w:hideMark/>
          </w:tcPr>
          <w:p w:rsidR="00F76DC4" w:rsidRPr="00071923" w:rsidRDefault="00F76DC4" w:rsidP="008042B1">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w:t>
            </w:r>
            <w:r>
              <w:rPr>
                <w:rFonts w:ascii="Arial" w:eastAsia="Times New Roman" w:hAnsi="Arial" w:cs="Arial"/>
                <w:b/>
                <w:bCs/>
                <w:sz w:val="18"/>
                <w:szCs w:val="18"/>
                <w:lang w:eastAsia="tr-TR"/>
              </w:rPr>
              <w:t>7 (P)</w:t>
            </w:r>
          </w:p>
        </w:tc>
      </w:tr>
      <w:tr w:rsidR="00F76DC4" w:rsidRPr="00071923" w:rsidTr="008042B1">
        <w:trPr>
          <w:trHeight w:val="300"/>
        </w:trPr>
        <w:tc>
          <w:tcPr>
            <w:tcW w:w="4219" w:type="dxa"/>
            <w:tcBorders>
              <w:top w:val="single" w:sz="12" w:space="0" w:color="auto"/>
              <w:left w:val="single" w:sz="12" w:space="0" w:color="auto"/>
              <w:bottom w:val="nil"/>
            </w:tcBorders>
            <w:shd w:val="clear" w:color="auto" w:fill="auto"/>
            <w:noWrap/>
          </w:tcPr>
          <w:p w:rsidR="00F76DC4" w:rsidRPr="00071923" w:rsidRDefault="00F76DC4" w:rsidP="008042B1">
            <w:pPr>
              <w:spacing w:after="0" w:line="240" w:lineRule="auto"/>
              <w:rPr>
                <w:rFonts w:ascii="Arial" w:eastAsia="Times New Roman" w:hAnsi="Arial" w:cs="Arial"/>
                <w:b/>
                <w:bCs/>
                <w:color w:val="000000"/>
                <w:sz w:val="18"/>
                <w:szCs w:val="18"/>
                <w:lang w:eastAsia="tr-TR"/>
              </w:rPr>
            </w:pPr>
          </w:p>
        </w:tc>
        <w:tc>
          <w:tcPr>
            <w:tcW w:w="4910" w:type="dxa"/>
            <w:gridSpan w:val="5"/>
            <w:tcBorders>
              <w:top w:val="single" w:sz="12" w:space="0" w:color="auto"/>
              <w:bottom w:val="nil"/>
              <w:right w:val="single" w:sz="12" w:space="0" w:color="auto"/>
            </w:tcBorders>
            <w:shd w:val="clear" w:color="auto" w:fill="auto"/>
            <w:noWrap/>
            <w:vAlign w:val="center"/>
          </w:tcPr>
          <w:p w:rsidR="00F76DC4" w:rsidRPr="00071923" w:rsidRDefault="00F76DC4" w:rsidP="008042B1">
            <w:pPr>
              <w:spacing w:after="0" w:line="240" w:lineRule="auto"/>
              <w:jc w:val="center"/>
              <w:rPr>
                <w:rFonts w:ascii="Arial" w:eastAsia="Times New Roman" w:hAnsi="Arial" w:cs="Arial"/>
                <w:bCs/>
                <w:sz w:val="18"/>
                <w:szCs w:val="18"/>
                <w:lang w:eastAsia="tr-TR"/>
              </w:rPr>
            </w:pPr>
            <w:r w:rsidRPr="00071923">
              <w:rPr>
                <w:rFonts w:ascii="Arial" w:eastAsia="Times New Roman" w:hAnsi="Arial" w:cs="Arial"/>
                <w:bCs/>
                <w:sz w:val="18"/>
                <w:szCs w:val="18"/>
                <w:lang w:eastAsia="tr-TR"/>
              </w:rPr>
              <w:t>(Milyar TL)</w:t>
            </w:r>
          </w:p>
        </w:tc>
      </w:tr>
      <w:tr w:rsidR="00F76DC4" w:rsidRPr="00071923" w:rsidTr="008042B1">
        <w:trPr>
          <w:trHeight w:val="300"/>
        </w:trPr>
        <w:tc>
          <w:tcPr>
            <w:tcW w:w="4219" w:type="dxa"/>
            <w:tcBorders>
              <w:left w:val="single" w:sz="12" w:space="0" w:color="auto"/>
              <w:bottom w:val="nil"/>
            </w:tcBorders>
            <w:shd w:val="clear" w:color="auto" w:fill="auto"/>
            <w:noWrap/>
            <w:vAlign w:val="center"/>
            <w:hideMark/>
          </w:tcPr>
          <w:p w:rsidR="00F76DC4" w:rsidRPr="00071923" w:rsidRDefault="00F76DC4" w:rsidP="008042B1">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Gelirler</w:t>
            </w:r>
          </w:p>
        </w:tc>
        <w:tc>
          <w:tcPr>
            <w:tcW w:w="980" w:type="dxa"/>
            <w:tcBorders>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625,3</w:t>
            </w:r>
          </w:p>
        </w:tc>
        <w:tc>
          <w:tcPr>
            <w:tcW w:w="987" w:type="dxa"/>
            <w:tcBorders>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688,9</w:t>
            </w:r>
          </w:p>
        </w:tc>
        <w:tc>
          <w:tcPr>
            <w:tcW w:w="951" w:type="dxa"/>
            <w:tcBorders>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743,1</w:t>
            </w:r>
          </w:p>
        </w:tc>
        <w:tc>
          <w:tcPr>
            <w:tcW w:w="992" w:type="dxa"/>
            <w:tcBorders>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809,9</w:t>
            </w:r>
          </w:p>
        </w:tc>
        <w:tc>
          <w:tcPr>
            <w:tcW w:w="1000" w:type="dxa"/>
            <w:tcBorders>
              <w:bottom w:val="nil"/>
              <w:right w:val="single" w:sz="12" w:space="0" w:color="auto"/>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883,5</w:t>
            </w:r>
          </w:p>
        </w:tc>
      </w:tr>
      <w:tr w:rsidR="00F76DC4" w:rsidRPr="00071923" w:rsidTr="008042B1">
        <w:trPr>
          <w:trHeight w:val="300"/>
        </w:trPr>
        <w:tc>
          <w:tcPr>
            <w:tcW w:w="4219" w:type="dxa"/>
            <w:tcBorders>
              <w:top w:val="nil"/>
              <w:left w:val="single" w:sz="12" w:space="0" w:color="auto"/>
              <w:bottom w:val="nil"/>
            </w:tcBorders>
            <w:shd w:val="clear" w:color="auto" w:fill="auto"/>
            <w:noWrap/>
            <w:vAlign w:val="center"/>
            <w:hideMark/>
          </w:tcPr>
          <w:p w:rsidR="00F76DC4" w:rsidRPr="00071923" w:rsidRDefault="00F76DC4" w:rsidP="008042B1">
            <w:pPr>
              <w:spacing w:after="0" w:line="240" w:lineRule="auto"/>
              <w:ind w:firstLineChars="200" w:firstLine="360"/>
              <w:rPr>
                <w:rFonts w:ascii="Arial" w:eastAsia="Times New Roman" w:hAnsi="Arial" w:cs="Arial"/>
                <w:sz w:val="18"/>
                <w:szCs w:val="18"/>
                <w:lang w:eastAsia="tr-TR"/>
              </w:rPr>
            </w:pPr>
            <w:r w:rsidRPr="00071923">
              <w:rPr>
                <w:rFonts w:ascii="Arial" w:eastAsia="Times New Roman" w:hAnsi="Arial" w:cs="Arial"/>
                <w:sz w:val="18"/>
                <w:szCs w:val="18"/>
                <w:lang w:eastAsia="tr-TR"/>
              </w:rPr>
              <w:t>Vergiler</w:t>
            </w:r>
          </w:p>
        </w:tc>
        <w:tc>
          <w:tcPr>
            <w:tcW w:w="980"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334,4</w:t>
            </w:r>
          </w:p>
        </w:tc>
        <w:tc>
          <w:tcPr>
            <w:tcW w:w="987"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361,5</w:t>
            </w:r>
          </w:p>
        </w:tc>
        <w:tc>
          <w:tcPr>
            <w:tcW w:w="951"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401,2</w:t>
            </w:r>
          </w:p>
        </w:tc>
        <w:tc>
          <w:tcPr>
            <w:tcW w:w="992"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445,0</w:t>
            </w:r>
          </w:p>
        </w:tc>
        <w:tc>
          <w:tcPr>
            <w:tcW w:w="1000" w:type="dxa"/>
            <w:tcBorders>
              <w:top w:val="nil"/>
              <w:bottom w:val="nil"/>
              <w:right w:val="single" w:sz="12" w:space="0" w:color="auto"/>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486,9</w:t>
            </w:r>
          </w:p>
        </w:tc>
      </w:tr>
      <w:tr w:rsidR="00F76DC4" w:rsidRPr="00071923" w:rsidTr="008042B1">
        <w:trPr>
          <w:trHeight w:val="300"/>
        </w:trPr>
        <w:tc>
          <w:tcPr>
            <w:tcW w:w="4219" w:type="dxa"/>
            <w:tcBorders>
              <w:top w:val="nil"/>
              <w:left w:val="single" w:sz="12" w:space="0" w:color="auto"/>
              <w:bottom w:val="nil"/>
            </w:tcBorders>
            <w:shd w:val="clear" w:color="auto" w:fill="auto"/>
            <w:noWrap/>
            <w:vAlign w:val="center"/>
            <w:hideMark/>
          </w:tcPr>
          <w:p w:rsidR="00F76DC4" w:rsidRPr="00071923" w:rsidRDefault="00F76DC4" w:rsidP="008042B1">
            <w:pPr>
              <w:spacing w:after="0" w:line="240" w:lineRule="auto"/>
              <w:ind w:firstLineChars="200" w:firstLine="360"/>
              <w:rPr>
                <w:rFonts w:ascii="Arial" w:eastAsia="Times New Roman" w:hAnsi="Arial" w:cs="Arial"/>
                <w:sz w:val="18"/>
                <w:szCs w:val="18"/>
                <w:lang w:eastAsia="tr-TR"/>
              </w:rPr>
            </w:pPr>
            <w:r w:rsidRPr="00071923">
              <w:rPr>
                <w:rFonts w:ascii="Arial" w:eastAsia="Times New Roman" w:hAnsi="Arial" w:cs="Arial"/>
                <w:sz w:val="18"/>
                <w:szCs w:val="18"/>
                <w:lang w:eastAsia="tr-TR"/>
              </w:rPr>
              <w:t>Vergi Dışı Normal Gelirler</w:t>
            </w:r>
          </w:p>
        </w:tc>
        <w:tc>
          <w:tcPr>
            <w:tcW w:w="980"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29,5</w:t>
            </w:r>
          </w:p>
        </w:tc>
        <w:tc>
          <w:tcPr>
            <w:tcW w:w="987"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38,7</w:t>
            </w:r>
          </w:p>
        </w:tc>
        <w:tc>
          <w:tcPr>
            <w:tcW w:w="951"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34,9</w:t>
            </w:r>
          </w:p>
        </w:tc>
        <w:tc>
          <w:tcPr>
            <w:tcW w:w="992"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38,0</w:t>
            </w:r>
          </w:p>
        </w:tc>
        <w:tc>
          <w:tcPr>
            <w:tcW w:w="1000" w:type="dxa"/>
            <w:tcBorders>
              <w:top w:val="nil"/>
              <w:bottom w:val="nil"/>
              <w:right w:val="single" w:sz="12" w:space="0" w:color="auto"/>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44,9</w:t>
            </w:r>
          </w:p>
        </w:tc>
      </w:tr>
      <w:tr w:rsidR="00F76DC4" w:rsidRPr="00071923" w:rsidTr="008042B1">
        <w:trPr>
          <w:trHeight w:val="300"/>
        </w:trPr>
        <w:tc>
          <w:tcPr>
            <w:tcW w:w="4219" w:type="dxa"/>
            <w:tcBorders>
              <w:top w:val="nil"/>
              <w:left w:val="single" w:sz="12" w:space="0" w:color="auto"/>
              <w:bottom w:val="nil"/>
            </w:tcBorders>
            <w:shd w:val="clear" w:color="auto" w:fill="auto"/>
            <w:noWrap/>
            <w:vAlign w:val="center"/>
            <w:hideMark/>
          </w:tcPr>
          <w:p w:rsidR="00F76DC4" w:rsidRPr="00071923" w:rsidRDefault="00F76DC4" w:rsidP="008042B1">
            <w:pPr>
              <w:spacing w:after="0" w:line="240" w:lineRule="auto"/>
              <w:ind w:firstLineChars="200" w:firstLine="360"/>
              <w:rPr>
                <w:rFonts w:ascii="Arial" w:eastAsia="Times New Roman" w:hAnsi="Arial" w:cs="Arial"/>
                <w:sz w:val="18"/>
                <w:szCs w:val="18"/>
                <w:lang w:eastAsia="tr-TR"/>
              </w:rPr>
            </w:pPr>
            <w:r w:rsidRPr="00071923">
              <w:rPr>
                <w:rFonts w:ascii="Arial" w:eastAsia="Times New Roman" w:hAnsi="Arial" w:cs="Arial"/>
                <w:sz w:val="18"/>
                <w:szCs w:val="18"/>
                <w:lang w:eastAsia="tr-TR"/>
              </w:rPr>
              <w:t>Faktör Gelirleri</w:t>
            </w:r>
          </w:p>
        </w:tc>
        <w:tc>
          <w:tcPr>
            <w:tcW w:w="980"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90,8</w:t>
            </w:r>
          </w:p>
        </w:tc>
        <w:tc>
          <w:tcPr>
            <w:tcW w:w="987"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100,7</w:t>
            </w:r>
          </w:p>
        </w:tc>
        <w:tc>
          <w:tcPr>
            <w:tcW w:w="951"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96,7</w:t>
            </w:r>
          </w:p>
        </w:tc>
        <w:tc>
          <w:tcPr>
            <w:tcW w:w="992"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102,1</w:t>
            </w:r>
          </w:p>
        </w:tc>
        <w:tc>
          <w:tcPr>
            <w:tcW w:w="1000" w:type="dxa"/>
            <w:tcBorders>
              <w:top w:val="nil"/>
              <w:bottom w:val="nil"/>
              <w:right w:val="single" w:sz="12" w:space="0" w:color="auto"/>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109,2</w:t>
            </w:r>
          </w:p>
        </w:tc>
      </w:tr>
      <w:tr w:rsidR="00F76DC4" w:rsidRPr="00071923" w:rsidTr="008042B1">
        <w:trPr>
          <w:trHeight w:val="300"/>
        </w:trPr>
        <w:tc>
          <w:tcPr>
            <w:tcW w:w="4219" w:type="dxa"/>
            <w:tcBorders>
              <w:top w:val="nil"/>
              <w:left w:val="single" w:sz="12" w:space="0" w:color="auto"/>
              <w:bottom w:val="nil"/>
            </w:tcBorders>
            <w:shd w:val="clear" w:color="auto" w:fill="auto"/>
            <w:noWrap/>
            <w:vAlign w:val="center"/>
            <w:hideMark/>
          </w:tcPr>
          <w:p w:rsidR="00F76DC4" w:rsidRPr="00071923" w:rsidRDefault="00F76DC4" w:rsidP="008042B1">
            <w:pPr>
              <w:spacing w:after="0" w:line="240" w:lineRule="auto"/>
              <w:ind w:firstLineChars="200" w:firstLine="360"/>
              <w:rPr>
                <w:rFonts w:ascii="Arial" w:eastAsia="Times New Roman" w:hAnsi="Arial" w:cs="Arial"/>
                <w:sz w:val="18"/>
                <w:szCs w:val="18"/>
                <w:lang w:eastAsia="tr-TR"/>
              </w:rPr>
            </w:pPr>
            <w:r w:rsidRPr="00071923">
              <w:rPr>
                <w:rFonts w:ascii="Arial" w:eastAsia="Times New Roman" w:hAnsi="Arial" w:cs="Arial"/>
                <w:sz w:val="18"/>
                <w:szCs w:val="18"/>
                <w:lang w:eastAsia="tr-TR"/>
              </w:rPr>
              <w:t>Sosyal Fonlar</w:t>
            </w:r>
          </w:p>
        </w:tc>
        <w:tc>
          <w:tcPr>
            <w:tcW w:w="980"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158,0</w:t>
            </w:r>
          </w:p>
        </w:tc>
        <w:tc>
          <w:tcPr>
            <w:tcW w:w="987"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177,3</w:t>
            </w:r>
          </w:p>
        </w:tc>
        <w:tc>
          <w:tcPr>
            <w:tcW w:w="951"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198,4</w:t>
            </w:r>
          </w:p>
        </w:tc>
        <w:tc>
          <w:tcPr>
            <w:tcW w:w="992"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214,9</w:t>
            </w:r>
          </w:p>
        </w:tc>
        <w:tc>
          <w:tcPr>
            <w:tcW w:w="1000" w:type="dxa"/>
            <w:tcBorders>
              <w:top w:val="nil"/>
              <w:bottom w:val="nil"/>
              <w:right w:val="single" w:sz="12" w:space="0" w:color="auto"/>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237,0</w:t>
            </w:r>
          </w:p>
        </w:tc>
      </w:tr>
      <w:tr w:rsidR="00F76DC4" w:rsidRPr="00071923" w:rsidTr="008042B1">
        <w:trPr>
          <w:trHeight w:val="300"/>
        </w:trPr>
        <w:tc>
          <w:tcPr>
            <w:tcW w:w="4219" w:type="dxa"/>
            <w:tcBorders>
              <w:top w:val="nil"/>
              <w:left w:val="single" w:sz="12" w:space="0" w:color="auto"/>
              <w:bottom w:val="nil"/>
            </w:tcBorders>
            <w:shd w:val="clear" w:color="auto" w:fill="auto"/>
            <w:noWrap/>
            <w:vAlign w:val="center"/>
            <w:hideMark/>
          </w:tcPr>
          <w:p w:rsidR="00F76DC4" w:rsidRPr="00071923" w:rsidRDefault="00F76DC4" w:rsidP="008042B1">
            <w:pPr>
              <w:spacing w:after="0" w:line="240" w:lineRule="auto"/>
              <w:ind w:firstLineChars="200" w:firstLine="360"/>
              <w:rPr>
                <w:rFonts w:ascii="Arial" w:eastAsia="Times New Roman" w:hAnsi="Arial" w:cs="Arial"/>
                <w:sz w:val="18"/>
                <w:szCs w:val="18"/>
                <w:lang w:eastAsia="tr-TR"/>
              </w:rPr>
            </w:pPr>
            <w:r w:rsidRPr="00071923">
              <w:rPr>
                <w:rFonts w:ascii="Arial" w:eastAsia="Times New Roman" w:hAnsi="Arial" w:cs="Arial"/>
                <w:sz w:val="18"/>
                <w:szCs w:val="18"/>
                <w:lang w:eastAsia="tr-TR"/>
              </w:rPr>
              <w:t>Özelleştirme Gelirleri</w:t>
            </w:r>
          </w:p>
        </w:tc>
        <w:tc>
          <w:tcPr>
            <w:tcW w:w="980"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12,6</w:t>
            </w:r>
          </w:p>
        </w:tc>
        <w:tc>
          <w:tcPr>
            <w:tcW w:w="987"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10,6</w:t>
            </w:r>
          </w:p>
        </w:tc>
        <w:tc>
          <w:tcPr>
            <w:tcW w:w="951"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11,8</w:t>
            </w:r>
          </w:p>
        </w:tc>
        <w:tc>
          <w:tcPr>
            <w:tcW w:w="992"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9,9</w:t>
            </w:r>
          </w:p>
        </w:tc>
        <w:tc>
          <w:tcPr>
            <w:tcW w:w="1000" w:type="dxa"/>
            <w:tcBorders>
              <w:top w:val="nil"/>
              <w:bottom w:val="nil"/>
              <w:right w:val="single" w:sz="12" w:space="0" w:color="auto"/>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5,5</w:t>
            </w:r>
          </w:p>
        </w:tc>
      </w:tr>
      <w:tr w:rsidR="00F76DC4" w:rsidRPr="00071923" w:rsidTr="008042B1">
        <w:trPr>
          <w:trHeight w:val="300"/>
        </w:trPr>
        <w:tc>
          <w:tcPr>
            <w:tcW w:w="4219" w:type="dxa"/>
            <w:tcBorders>
              <w:top w:val="nil"/>
              <w:left w:val="single" w:sz="12" w:space="0" w:color="auto"/>
              <w:bottom w:val="nil"/>
            </w:tcBorders>
            <w:shd w:val="clear" w:color="auto" w:fill="auto"/>
            <w:noWrap/>
            <w:vAlign w:val="center"/>
            <w:hideMark/>
          </w:tcPr>
          <w:p w:rsidR="00F76DC4" w:rsidRPr="00071923" w:rsidRDefault="00F76DC4" w:rsidP="008042B1">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Harcamalar</w:t>
            </w:r>
          </w:p>
        </w:tc>
        <w:tc>
          <w:tcPr>
            <w:tcW w:w="980" w:type="dxa"/>
            <w:tcBorders>
              <w:top w:val="nil"/>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637,0</w:t>
            </w:r>
          </w:p>
        </w:tc>
        <w:tc>
          <w:tcPr>
            <w:tcW w:w="987" w:type="dxa"/>
            <w:tcBorders>
              <w:top w:val="nil"/>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702,6</w:t>
            </w:r>
          </w:p>
        </w:tc>
        <w:tc>
          <w:tcPr>
            <w:tcW w:w="951" w:type="dxa"/>
            <w:tcBorders>
              <w:top w:val="nil"/>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752,0</w:t>
            </w:r>
          </w:p>
        </w:tc>
        <w:tc>
          <w:tcPr>
            <w:tcW w:w="992" w:type="dxa"/>
            <w:tcBorders>
              <w:top w:val="nil"/>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813,5</w:t>
            </w:r>
          </w:p>
        </w:tc>
        <w:tc>
          <w:tcPr>
            <w:tcW w:w="1000" w:type="dxa"/>
            <w:tcBorders>
              <w:top w:val="nil"/>
              <w:bottom w:val="nil"/>
              <w:right w:val="single" w:sz="12" w:space="0" w:color="auto"/>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880,8</w:t>
            </w:r>
          </w:p>
        </w:tc>
      </w:tr>
      <w:tr w:rsidR="00F76DC4" w:rsidRPr="00071923" w:rsidTr="008042B1">
        <w:trPr>
          <w:trHeight w:val="300"/>
        </w:trPr>
        <w:tc>
          <w:tcPr>
            <w:tcW w:w="4219" w:type="dxa"/>
            <w:tcBorders>
              <w:top w:val="nil"/>
              <w:left w:val="single" w:sz="12" w:space="0" w:color="auto"/>
              <w:bottom w:val="nil"/>
            </w:tcBorders>
            <w:shd w:val="clear" w:color="auto" w:fill="auto"/>
            <w:noWrap/>
            <w:vAlign w:val="center"/>
          </w:tcPr>
          <w:p w:rsidR="00F76DC4" w:rsidRPr="00471C4A" w:rsidRDefault="00F76DC4" w:rsidP="008042B1">
            <w:pPr>
              <w:spacing w:after="0" w:line="240" w:lineRule="auto"/>
              <w:ind w:firstLineChars="200" w:firstLine="361"/>
              <w:rPr>
                <w:rFonts w:ascii="Arial" w:eastAsia="Times New Roman" w:hAnsi="Arial" w:cs="Arial"/>
                <w:b/>
                <w:sz w:val="18"/>
                <w:szCs w:val="18"/>
                <w:lang w:eastAsia="tr-TR"/>
              </w:rPr>
            </w:pPr>
            <w:r w:rsidRPr="00471C4A">
              <w:rPr>
                <w:rFonts w:ascii="Arial" w:eastAsia="Times New Roman" w:hAnsi="Arial" w:cs="Arial"/>
                <w:b/>
                <w:sz w:val="18"/>
                <w:szCs w:val="18"/>
                <w:lang w:eastAsia="tr-TR"/>
              </w:rPr>
              <w:t>Faiz Dışı Harcamalar</w:t>
            </w:r>
          </w:p>
        </w:tc>
        <w:tc>
          <w:tcPr>
            <w:tcW w:w="980" w:type="dxa"/>
            <w:tcBorders>
              <w:top w:val="nil"/>
              <w:bottom w:val="nil"/>
            </w:tcBorders>
            <w:shd w:val="clear" w:color="auto" w:fill="auto"/>
            <w:noWrap/>
            <w:vAlign w:val="center"/>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585,4</w:t>
            </w:r>
          </w:p>
        </w:tc>
        <w:tc>
          <w:tcPr>
            <w:tcW w:w="987" w:type="dxa"/>
            <w:tcBorders>
              <w:top w:val="nil"/>
              <w:bottom w:val="nil"/>
            </w:tcBorders>
            <w:shd w:val="clear" w:color="auto" w:fill="auto"/>
            <w:noWrap/>
            <w:vAlign w:val="center"/>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650,4</w:t>
            </w:r>
          </w:p>
        </w:tc>
        <w:tc>
          <w:tcPr>
            <w:tcW w:w="951" w:type="dxa"/>
            <w:tcBorders>
              <w:top w:val="nil"/>
              <w:bottom w:val="nil"/>
            </w:tcBorders>
            <w:shd w:val="clear" w:color="auto" w:fill="auto"/>
            <w:noWrap/>
            <w:vAlign w:val="center"/>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695,9</w:t>
            </w:r>
          </w:p>
        </w:tc>
        <w:tc>
          <w:tcPr>
            <w:tcW w:w="992" w:type="dxa"/>
            <w:tcBorders>
              <w:top w:val="nil"/>
              <w:bottom w:val="nil"/>
            </w:tcBorders>
            <w:shd w:val="clear" w:color="auto" w:fill="auto"/>
            <w:noWrap/>
            <w:vAlign w:val="center"/>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757,5</w:t>
            </w:r>
          </w:p>
        </w:tc>
        <w:tc>
          <w:tcPr>
            <w:tcW w:w="1000" w:type="dxa"/>
            <w:tcBorders>
              <w:top w:val="nil"/>
              <w:bottom w:val="nil"/>
              <w:right w:val="single" w:sz="12" w:space="0" w:color="auto"/>
            </w:tcBorders>
            <w:shd w:val="clear" w:color="auto" w:fill="auto"/>
            <w:noWrap/>
            <w:vAlign w:val="center"/>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823,2</w:t>
            </w:r>
          </w:p>
        </w:tc>
      </w:tr>
      <w:tr w:rsidR="00F76DC4" w:rsidRPr="00071923" w:rsidTr="008042B1">
        <w:trPr>
          <w:trHeight w:val="300"/>
        </w:trPr>
        <w:tc>
          <w:tcPr>
            <w:tcW w:w="4219" w:type="dxa"/>
            <w:tcBorders>
              <w:top w:val="nil"/>
              <w:left w:val="single" w:sz="12" w:space="0" w:color="auto"/>
              <w:bottom w:val="nil"/>
            </w:tcBorders>
            <w:shd w:val="clear" w:color="auto" w:fill="auto"/>
            <w:noWrap/>
            <w:vAlign w:val="center"/>
            <w:hideMark/>
          </w:tcPr>
          <w:p w:rsidR="00F76DC4" w:rsidRPr="00071923" w:rsidRDefault="00F76DC4" w:rsidP="008042B1">
            <w:pPr>
              <w:spacing w:after="0" w:line="240" w:lineRule="auto"/>
              <w:ind w:firstLineChars="315" w:firstLine="567"/>
              <w:rPr>
                <w:rFonts w:ascii="Arial" w:eastAsia="Times New Roman" w:hAnsi="Arial" w:cs="Arial"/>
                <w:sz w:val="18"/>
                <w:szCs w:val="18"/>
                <w:lang w:eastAsia="tr-TR"/>
              </w:rPr>
            </w:pPr>
            <w:r w:rsidRPr="00071923">
              <w:rPr>
                <w:rFonts w:ascii="Arial" w:eastAsia="Times New Roman" w:hAnsi="Arial" w:cs="Arial"/>
                <w:sz w:val="18"/>
                <w:szCs w:val="18"/>
                <w:lang w:eastAsia="tr-TR"/>
              </w:rPr>
              <w:t>Cari Harcamalar</w:t>
            </w:r>
          </w:p>
        </w:tc>
        <w:tc>
          <w:tcPr>
            <w:tcW w:w="980" w:type="dxa"/>
            <w:tcBorders>
              <w:top w:val="nil"/>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Cs/>
                <w:color w:val="000000"/>
                <w:sz w:val="18"/>
                <w:szCs w:val="18"/>
                <w:lang w:eastAsia="tr-TR"/>
              </w:rPr>
            </w:pPr>
            <w:r w:rsidRPr="00A10957">
              <w:rPr>
                <w:rFonts w:ascii="Arial" w:eastAsia="Times New Roman" w:hAnsi="Arial" w:cs="Arial"/>
                <w:bCs/>
                <w:color w:val="000000"/>
                <w:sz w:val="18"/>
                <w:szCs w:val="18"/>
                <w:lang w:eastAsia="tr-TR"/>
              </w:rPr>
              <w:t>281,6</w:t>
            </w:r>
          </w:p>
        </w:tc>
        <w:tc>
          <w:tcPr>
            <w:tcW w:w="987" w:type="dxa"/>
            <w:tcBorders>
              <w:top w:val="nil"/>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Cs/>
                <w:color w:val="000000"/>
                <w:sz w:val="18"/>
                <w:szCs w:val="18"/>
                <w:lang w:eastAsia="tr-TR"/>
              </w:rPr>
            </w:pPr>
            <w:r w:rsidRPr="00A10957">
              <w:rPr>
                <w:rFonts w:ascii="Arial" w:eastAsia="Times New Roman" w:hAnsi="Arial" w:cs="Arial"/>
                <w:bCs/>
                <w:color w:val="000000"/>
                <w:sz w:val="18"/>
                <w:szCs w:val="18"/>
                <w:lang w:eastAsia="tr-TR"/>
              </w:rPr>
              <w:t>313,4</w:t>
            </w:r>
          </w:p>
        </w:tc>
        <w:tc>
          <w:tcPr>
            <w:tcW w:w="951" w:type="dxa"/>
            <w:tcBorders>
              <w:top w:val="nil"/>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Cs/>
                <w:color w:val="000000"/>
                <w:sz w:val="18"/>
                <w:szCs w:val="18"/>
                <w:lang w:eastAsia="tr-TR"/>
              </w:rPr>
            </w:pPr>
            <w:r w:rsidRPr="00A10957">
              <w:rPr>
                <w:rFonts w:ascii="Arial" w:eastAsia="Times New Roman" w:hAnsi="Arial" w:cs="Arial"/>
                <w:bCs/>
                <w:color w:val="000000"/>
                <w:sz w:val="18"/>
                <w:szCs w:val="18"/>
                <w:lang w:eastAsia="tr-TR"/>
              </w:rPr>
              <w:t>337,9</w:t>
            </w:r>
          </w:p>
        </w:tc>
        <w:tc>
          <w:tcPr>
            <w:tcW w:w="992" w:type="dxa"/>
            <w:tcBorders>
              <w:top w:val="nil"/>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Cs/>
                <w:color w:val="000000"/>
                <w:sz w:val="18"/>
                <w:szCs w:val="18"/>
                <w:lang w:eastAsia="tr-TR"/>
              </w:rPr>
            </w:pPr>
            <w:r w:rsidRPr="00A10957">
              <w:rPr>
                <w:rFonts w:ascii="Arial" w:eastAsia="Times New Roman" w:hAnsi="Arial" w:cs="Arial"/>
                <w:bCs/>
                <w:color w:val="000000"/>
                <w:sz w:val="18"/>
                <w:szCs w:val="18"/>
                <w:lang w:eastAsia="tr-TR"/>
              </w:rPr>
              <w:t>366,6</w:t>
            </w:r>
          </w:p>
        </w:tc>
        <w:tc>
          <w:tcPr>
            <w:tcW w:w="1000" w:type="dxa"/>
            <w:tcBorders>
              <w:top w:val="nil"/>
              <w:bottom w:val="nil"/>
              <w:right w:val="single" w:sz="12" w:space="0" w:color="auto"/>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Cs/>
                <w:color w:val="000000"/>
                <w:sz w:val="18"/>
                <w:szCs w:val="18"/>
                <w:lang w:eastAsia="tr-TR"/>
              </w:rPr>
            </w:pPr>
            <w:r w:rsidRPr="00A10957">
              <w:rPr>
                <w:rFonts w:ascii="Arial" w:eastAsia="Times New Roman" w:hAnsi="Arial" w:cs="Arial"/>
                <w:bCs/>
                <w:color w:val="000000"/>
                <w:sz w:val="18"/>
                <w:szCs w:val="18"/>
                <w:lang w:eastAsia="tr-TR"/>
              </w:rPr>
              <w:t>395,1</w:t>
            </w:r>
          </w:p>
        </w:tc>
      </w:tr>
      <w:tr w:rsidR="00F76DC4" w:rsidRPr="00071923" w:rsidTr="008042B1">
        <w:trPr>
          <w:trHeight w:val="300"/>
        </w:trPr>
        <w:tc>
          <w:tcPr>
            <w:tcW w:w="4219" w:type="dxa"/>
            <w:tcBorders>
              <w:top w:val="nil"/>
              <w:left w:val="single" w:sz="12" w:space="0" w:color="auto"/>
              <w:bottom w:val="nil"/>
            </w:tcBorders>
            <w:shd w:val="clear" w:color="auto" w:fill="auto"/>
            <w:noWrap/>
            <w:vAlign w:val="center"/>
            <w:hideMark/>
          </w:tcPr>
          <w:p w:rsidR="00F76DC4" w:rsidRPr="00071923" w:rsidRDefault="00F76DC4" w:rsidP="008042B1">
            <w:pPr>
              <w:spacing w:after="0" w:line="240" w:lineRule="auto"/>
              <w:ind w:firstLineChars="315" w:firstLine="567"/>
              <w:rPr>
                <w:rFonts w:ascii="Arial" w:eastAsia="Times New Roman" w:hAnsi="Arial" w:cs="Arial"/>
                <w:sz w:val="18"/>
                <w:szCs w:val="18"/>
                <w:lang w:eastAsia="tr-TR"/>
              </w:rPr>
            </w:pPr>
            <w:r w:rsidRPr="00071923">
              <w:rPr>
                <w:rFonts w:ascii="Arial" w:eastAsia="Times New Roman" w:hAnsi="Arial" w:cs="Arial"/>
                <w:sz w:val="18"/>
                <w:szCs w:val="18"/>
                <w:lang w:eastAsia="tr-TR"/>
              </w:rPr>
              <w:t>Yatırım Harcamaları</w:t>
            </w:r>
          </w:p>
        </w:tc>
        <w:tc>
          <w:tcPr>
            <w:tcW w:w="980" w:type="dxa"/>
            <w:tcBorders>
              <w:top w:val="nil"/>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Cs/>
                <w:color w:val="000000"/>
                <w:sz w:val="18"/>
                <w:szCs w:val="18"/>
                <w:lang w:eastAsia="tr-TR"/>
              </w:rPr>
            </w:pPr>
            <w:r w:rsidRPr="00A10957">
              <w:rPr>
                <w:rFonts w:ascii="Arial" w:eastAsia="Times New Roman" w:hAnsi="Arial" w:cs="Arial"/>
                <w:bCs/>
                <w:color w:val="000000"/>
                <w:sz w:val="18"/>
                <w:szCs w:val="18"/>
                <w:lang w:eastAsia="tr-TR"/>
              </w:rPr>
              <w:t>65,8</w:t>
            </w:r>
          </w:p>
        </w:tc>
        <w:tc>
          <w:tcPr>
            <w:tcW w:w="987" w:type="dxa"/>
            <w:tcBorders>
              <w:top w:val="nil"/>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Cs/>
                <w:color w:val="000000"/>
                <w:sz w:val="18"/>
                <w:szCs w:val="18"/>
                <w:lang w:eastAsia="tr-TR"/>
              </w:rPr>
            </w:pPr>
            <w:r w:rsidRPr="00A10957">
              <w:rPr>
                <w:rFonts w:ascii="Arial" w:eastAsia="Times New Roman" w:hAnsi="Arial" w:cs="Arial"/>
                <w:bCs/>
                <w:color w:val="000000"/>
                <w:sz w:val="18"/>
                <w:szCs w:val="18"/>
                <w:lang w:eastAsia="tr-TR"/>
              </w:rPr>
              <w:t>71,6</w:t>
            </w:r>
          </w:p>
        </w:tc>
        <w:tc>
          <w:tcPr>
            <w:tcW w:w="951" w:type="dxa"/>
            <w:tcBorders>
              <w:top w:val="nil"/>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Cs/>
                <w:color w:val="000000"/>
                <w:sz w:val="18"/>
                <w:szCs w:val="18"/>
                <w:lang w:eastAsia="tr-TR"/>
              </w:rPr>
            </w:pPr>
            <w:r w:rsidRPr="00A10957">
              <w:rPr>
                <w:rFonts w:ascii="Arial" w:eastAsia="Times New Roman" w:hAnsi="Arial" w:cs="Arial"/>
                <w:bCs/>
                <w:color w:val="000000"/>
                <w:sz w:val="18"/>
                <w:szCs w:val="18"/>
                <w:lang w:eastAsia="tr-TR"/>
              </w:rPr>
              <w:t>72,3</w:t>
            </w:r>
          </w:p>
        </w:tc>
        <w:tc>
          <w:tcPr>
            <w:tcW w:w="992" w:type="dxa"/>
            <w:tcBorders>
              <w:top w:val="nil"/>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Cs/>
                <w:color w:val="000000"/>
                <w:sz w:val="18"/>
                <w:szCs w:val="18"/>
                <w:lang w:eastAsia="tr-TR"/>
              </w:rPr>
            </w:pPr>
            <w:r w:rsidRPr="00A10957">
              <w:rPr>
                <w:rFonts w:ascii="Arial" w:eastAsia="Times New Roman" w:hAnsi="Arial" w:cs="Arial"/>
                <w:bCs/>
                <w:color w:val="000000"/>
                <w:sz w:val="18"/>
                <w:szCs w:val="18"/>
                <w:lang w:eastAsia="tr-TR"/>
              </w:rPr>
              <w:t>82,3</w:t>
            </w:r>
          </w:p>
        </w:tc>
        <w:tc>
          <w:tcPr>
            <w:tcW w:w="1000" w:type="dxa"/>
            <w:tcBorders>
              <w:top w:val="nil"/>
              <w:bottom w:val="nil"/>
              <w:right w:val="single" w:sz="12" w:space="0" w:color="auto"/>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Cs/>
                <w:color w:val="000000"/>
                <w:sz w:val="18"/>
                <w:szCs w:val="18"/>
                <w:lang w:eastAsia="tr-TR"/>
              </w:rPr>
            </w:pPr>
            <w:r w:rsidRPr="00A10957">
              <w:rPr>
                <w:rFonts w:ascii="Arial" w:eastAsia="Times New Roman" w:hAnsi="Arial" w:cs="Arial"/>
                <w:bCs/>
                <w:color w:val="000000"/>
                <w:sz w:val="18"/>
                <w:szCs w:val="18"/>
                <w:lang w:eastAsia="tr-TR"/>
              </w:rPr>
              <w:t>89,8</w:t>
            </w:r>
          </w:p>
        </w:tc>
      </w:tr>
      <w:tr w:rsidR="00F76DC4" w:rsidRPr="00071923" w:rsidTr="008042B1">
        <w:trPr>
          <w:trHeight w:val="300"/>
        </w:trPr>
        <w:tc>
          <w:tcPr>
            <w:tcW w:w="4219" w:type="dxa"/>
            <w:tcBorders>
              <w:top w:val="nil"/>
              <w:left w:val="single" w:sz="12" w:space="0" w:color="auto"/>
              <w:bottom w:val="nil"/>
            </w:tcBorders>
            <w:shd w:val="clear" w:color="auto" w:fill="auto"/>
            <w:noWrap/>
            <w:vAlign w:val="center"/>
            <w:hideMark/>
          </w:tcPr>
          <w:p w:rsidR="00F76DC4" w:rsidRPr="00071923" w:rsidRDefault="00F76DC4" w:rsidP="008042B1">
            <w:pPr>
              <w:spacing w:after="0" w:line="240" w:lineRule="auto"/>
              <w:ind w:firstLineChars="315" w:firstLine="567"/>
              <w:rPr>
                <w:rFonts w:ascii="Arial" w:eastAsia="Times New Roman" w:hAnsi="Arial" w:cs="Arial"/>
                <w:sz w:val="18"/>
                <w:szCs w:val="18"/>
                <w:lang w:eastAsia="tr-TR"/>
              </w:rPr>
            </w:pPr>
            <w:r w:rsidRPr="00071923">
              <w:rPr>
                <w:rFonts w:ascii="Arial" w:eastAsia="Times New Roman" w:hAnsi="Arial" w:cs="Arial"/>
                <w:sz w:val="18"/>
                <w:szCs w:val="18"/>
                <w:lang w:eastAsia="tr-TR"/>
              </w:rPr>
              <w:t>Transfer Harcamaları</w:t>
            </w:r>
          </w:p>
        </w:tc>
        <w:tc>
          <w:tcPr>
            <w:tcW w:w="980" w:type="dxa"/>
            <w:tcBorders>
              <w:top w:val="nil"/>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Cs/>
                <w:color w:val="000000"/>
                <w:sz w:val="18"/>
                <w:szCs w:val="18"/>
                <w:lang w:eastAsia="tr-TR"/>
              </w:rPr>
            </w:pPr>
            <w:r w:rsidRPr="00A10957">
              <w:rPr>
                <w:rFonts w:ascii="Arial" w:eastAsia="Times New Roman" w:hAnsi="Arial" w:cs="Arial"/>
                <w:bCs/>
                <w:color w:val="000000"/>
                <w:sz w:val="18"/>
                <w:szCs w:val="18"/>
                <w:lang w:eastAsia="tr-TR"/>
              </w:rPr>
              <w:t>238,0</w:t>
            </w:r>
          </w:p>
        </w:tc>
        <w:tc>
          <w:tcPr>
            <w:tcW w:w="987" w:type="dxa"/>
            <w:tcBorders>
              <w:top w:val="nil"/>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Cs/>
                <w:color w:val="000000"/>
                <w:sz w:val="18"/>
                <w:szCs w:val="18"/>
                <w:lang w:eastAsia="tr-TR"/>
              </w:rPr>
            </w:pPr>
            <w:r w:rsidRPr="00A10957">
              <w:rPr>
                <w:rFonts w:ascii="Arial" w:eastAsia="Times New Roman" w:hAnsi="Arial" w:cs="Arial"/>
                <w:bCs/>
                <w:color w:val="000000"/>
                <w:sz w:val="18"/>
                <w:szCs w:val="18"/>
                <w:lang w:eastAsia="tr-TR"/>
              </w:rPr>
              <w:t>265,3</w:t>
            </w:r>
          </w:p>
        </w:tc>
        <w:tc>
          <w:tcPr>
            <w:tcW w:w="951" w:type="dxa"/>
            <w:tcBorders>
              <w:top w:val="nil"/>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Cs/>
                <w:color w:val="000000"/>
                <w:sz w:val="18"/>
                <w:szCs w:val="18"/>
                <w:lang w:eastAsia="tr-TR"/>
              </w:rPr>
            </w:pPr>
            <w:r w:rsidRPr="00A10957">
              <w:rPr>
                <w:rFonts w:ascii="Arial" w:eastAsia="Times New Roman" w:hAnsi="Arial" w:cs="Arial"/>
                <w:bCs/>
                <w:color w:val="000000"/>
                <w:sz w:val="18"/>
                <w:szCs w:val="18"/>
                <w:lang w:eastAsia="tr-TR"/>
              </w:rPr>
              <w:t>285,8</w:t>
            </w:r>
          </w:p>
        </w:tc>
        <w:tc>
          <w:tcPr>
            <w:tcW w:w="992" w:type="dxa"/>
            <w:tcBorders>
              <w:top w:val="nil"/>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Cs/>
                <w:color w:val="000000"/>
                <w:sz w:val="18"/>
                <w:szCs w:val="18"/>
                <w:lang w:eastAsia="tr-TR"/>
              </w:rPr>
            </w:pPr>
            <w:r w:rsidRPr="00A10957">
              <w:rPr>
                <w:rFonts w:ascii="Arial" w:eastAsia="Times New Roman" w:hAnsi="Arial" w:cs="Arial"/>
                <w:bCs/>
                <w:color w:val="000000"/>
                <w:sz w:val="18"/>
                <w:szCs w:val="18"/>
                <w:lang w:eastAsia="tr-TR"/>
              </w:rPr>
              <w:t>308,7</w:t>
            </w:r>
          </w:p>
        </w:tc>
        <w:tc>
          <w:tcPr>
            <w:tcW w:w="1000" w:type="dxa"/>
            <w:tcBorders>
              <w:top w:val="nil"/>
              <w:bottom w:val="nil"/>
              <w:right w:val="single" w:sz="12" w:space="0" w:color="auto"/>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Cs/>
                <w:color w:val="000000"/>
                <w:sz w:val="18"/>
                <w:szCs w:val="18"/>
                <w:lang w:eastAsia="tr-TR"/>
              </w:rPr>
            </w:pPr>
            <w:r w:rsidRPr="00A10957">
              <w:rPr>
                <w:rFonts w:ascii="Arial" w:eastAsia="Times New Roman" w:hAnsi="Arial" w:cs="Arial"/>
                <w:bCs/>
                <w:color w:val="000000"/>
                <w:sz w:val="18"/>
                <w:szCs w:val="18"/>
                <w:lang w:eastAsia="tr-TR"/>
              </w:rPr>
              <w:t>338,3</w:t>
            </w:r>
          </w:p>
        </w:tc>
      </w:tr>
      <w:tr w:rsidR="00F76DC4" w:rsidRPr="00071923" w:rsidTr="008042B1">
        <w:trPr>
          <w:trHeight w:val="300"/>
        </w:trPr>
        <w:tc>
          <w:tcPr>
            <w:tcW w:w="4219" w:type="dxa"/>
            <w:tcBorders>
              <w:top w:val="nil"/>
              <w:left w:val="single" w:sz="12" w:space="0" w:color="auto"/>
              <w:bottom w:val="nil"/>
            </w:tcBorders>
            <w:shd w:val="clear" w:color="auto" w:fill="auto"/>
            <w:noWrap/>
            <w:vAlign w:val="center"/>
            <w:hideMark/>
          </w:tcPr>
          <w:p w:rsidR="00F76DC4" w:rsidRPr="00071923" w:rsidRDefault="00F76DC4" w:rsidP="008042B1">
            <w:pPr>
              <w:spacing w:after="0" w:line="240" w:lineRule="auto"/>
              <w:ind w:firstLineChars="315" w:firstLine="567"/>
              <w:rPr>
                <w:rFonts w:ascii="Arial" w:eastAsia="Times New Roman" w:hAnsi="Arial" w:cs="Arial"/>
                <w:sz w:val="18"/>
                <w:szCs w:val="18"/>
                <w:lang w:eastAsia="tr-TR"/>
              </w:rPr>
            </w:pPr>
            <w:r w:rsidRPr="00071923">
              <w:rPr>
                <w:rFonts w:ascii="Arial" w:eastAsia="Times New Roman" w:hAnsi="Arial" w:cs="Arial"/>
                <w:sz w:val="18"/>
                <w:szCs w:val="18"/>
                <w:lang w:eastAsia="tr-TR"/>
              </w:rPr>
              <w:t>Stok Değişim Fonu</w:t>
            </w:r>
          </w:p>
        </w:tc>
        <w:tc>
          <w:tcPr>
            <w:tcW w:w="980" w:type="dxa"/>
            <w:tcBorders>
              <w:top w:val="nil"/>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Cs/>
                <w:color w:val="000000"/>
                <w:sz w:val="18"/>
                <w:szCs w:val="18"/>
                <w:lang w:eastAsia="tr-TR"/>
              </w:rPr>
            </w:pPr>
            <w:r w:rsidRPr="00A10957">
              <w:rPr>
                <w:rFonts w:ascii="Arial" w:eastAsia="Times New Roman" w:hAnsi="Arial" w:cs="Arial"/>
                <w:bCs/>
                <w:color w:val="000000"/>
                <w:sz w:val="18"/>
                <w:szCs w:val="18"/>
                <w:lang w:eastAsia="tr-TR"/>
              </w:rPr>
              <w:t>0,0</w:t>
            </w:r>
          </w:p>
        </w:tc>
        <w:tc>
          <w:tcPr>
            <w:tcW w:w="987" w:type="dxa"/>
            <w:tcBorders>
              <w:top w:val="nil"/>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Cs/>
                <w:color w:val="000000"/>
                <w:sz w:val="18"/>
                <w:szCs w:val="18"/>
                <w:lang w:eastAsia="tr-TR"/>
              </w:rPr>
            </w:pPr>
            <w:r w:rsidRPr="00A10957">
              <w:rPr>
                <w:rFonts w:ascii="Arial" w:eastAsia="Times New Roman" w:hAnsi="Arial" w:cs="Arial"/>
                <w:bCs/>
                <w:color w:val="000000"/>
                <w:sz w:val="18"/>
                <w:szCs w:val="18"/>
                <w:lang w:eastAsia="tr-TR"/>
              </w:rPr>
              <w:t>0,0</w:t>
            </w:r>
          </w:p>
        </w:tc>
        <w:tc>
          <w:tcPr>
            <w:tcW w:w="951" w:type="dxa"/>
            <w:tcBorders>
              <w:top w:val="nil"/>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Cs/>
                <w:color w:val="000000"/>
                <w:sz w:val="18"/>
                <w:szCs w:val="18"/>
                <w:lang w:eastAsia="tr-TR"/>
              </w:rPr>
            </w:pPr>
            <w:r w:rsidRPr="00A10957">
              <w:rPr>
                <w:rFonts w:ascii="Arial" w:eastAsia="Times New Roman" w:hAnsi="Arial" w:cs="Arial"/>
                <w:bCs/>
                <w:color w:val="000000"/>
                <w:sz w:val="18"/>
                <w:szCs w:val="18"/>
                <w:lang w:eastAsia="tr-TR"/>
              </w:rPr>
              <w:t>0,0</w:t>
            </w:r>
          </w:p>
        </w:tc>
        <w:tc>
          <w:tcPr>
            <w:tcW w:w="992" w:type="dxa"/>
            <w:tcBorders>
              <w:top w:val="nil"/>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Cs/>
                <w:color w:val="000000"/>
                <w:sz w:val="18"/>
                <w:szCs w:val="18"/>
                <w:lang w:eastAsia="tr-TR"/>
              </w:rPr>
            </w:pPr>
            <w:r w:rsidRPr="00A10957">
              <w:rPr>
                <w:rFonts w:ascii="Arial" w:eastAsia="Times New Roman" w:hAnsi="Arial" w:cs="Arial"/>
                <w:bCs/>
                <w:color w:val="000000"/>
                <w:sz w:val="18"/>
                <w:szCs w:val="18"/>
                <w:lang w:eastAsia="tr-TR"/>
              </w:rPr>
              <w:t>0,0</w:t>
            </w:r>
          </w:p>
        </w:tc>
        <w:tc>
          <w:tcPr>
            <w:tcW w:w="1000" w:type="dxa"/>
            <w:tcBorders>
              <w:top w:val="nil"/>
              <w:bottom w:val="nil"/>
              <w:right w:val="single" w:sz="12" w:space="0" w:color="auto"/>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Cs/>
                <w:color w:val="000000"/>
                <w:sz w:val="18"/>
                <w:szCs w:val="18"/>
                <w:lang w:eastAsia="tr-TR"/>
              </w:rPr>
            </w:pPr>
            <w:r w:rsidRPr="00A10957">
              <w:rPr>
                <w:rFonts w:ascii="Arial" w:eastAsia="Times New Roman" w:hAnsi="Arial" w:cs="Arial"/>
                <w:bCs/>
                <w:color w:val="000000"/>
                <w:sz w:val="18"/>
                <w:szCs w:val="18"/>
                <w:lang w:eastAsia="tr-TR"/>
              </w:rPr>
              <w:t>0,0</w:t>
            </w:r>
          </w:p>
        </w:tc>
      </w:tr>
      <w:tr w:rsidR="00F76DC4" w:rsidRPr="00071923" w:rsidTr="008042B1">
        <w:trPr>
          <w:trHeight w:val="300"/>
        </w:trPr>
        <w:tc>
          <w:tcPr>
            <w:tcW w:w="4219" w:type="dxa"/>
            <w:tcBorders>
              <w:top w:val="nil"/>
              <w:left w:val="single" w:sz="12" w:space="0" w:color="auto"/>
              <w:bottom w:val="single" w:sz="4" w:space="0" w:color="auto"/>
            </w:tcBorders>
            <w:shd w:val="clear" w:color="auto" w:fill="auto"/>
            <w:noWrap/>
            <w:vAlign w:val="center"/>
          </w:tcPr>
          <w:p w:rsidR="00F76DC4" w:rsidRPr="00471C4A" w:rsidRDefault="00F76DC4" w:rsidP="008042B1">
            <w:pPr>
              <w:spacing w:after="0" w:line="240" w:lineRule="auto"/>
              <w:ind w:firstLineChars="200" w:firstLine="361"/>
              <w:rPr>
                <w:rFonts w:ascii="Arial" w:eastAsia="Times New Roman" w:hAnsi="Arial" w:cs="Arial"/>
                <w:b/>
                <w:bCs/>
                <w:color w:val="000000"/>
                <w:sz w:val="18"/>
                <w:szCs w:val="18"/>
                <w:lang w:eastAsia="tr-TR"/>
              </w:rPr>
            </w:pPr>
            <w:r w:rsidRPr="00471C4A">
              <w:rPr>
                <w:rFonts w:ascii="Arial" w:eastAsia="Times New Roman" w:hAnsi="Arial" w:cs="Arial"/>
                <w:b/>
                <w:sz w:val="18"/>
                <w:szCs w:val="18"/>
                <w:lang w:eastAsia="tr-TR"/>
              </w:rPr>
              <w:t>Faiz Harcamaları</w:t>
            </w:r>
          </w:p>
        </w:tc>
        <w:tc>
          <w:tcPr>
            <w:tcW w:w="980" w:type="dxa"/>
            <w:tcBorders>
              <w:top w:val="nil"/>
              <w:bottom w:val="single" w:sz="4" w:space="0" w:color="auto"/>
            </w:tcBorders>
            <w:shd w:val="clear" w:color="auto" w:fill="auto"/>
            <w:noWrap/>
            <w:vAlign w:val="center"/>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51,6</w:t>
            </w:r>
          </w:p>
        </w:tc>
        <w:tc>
          <w:tcPr>
            <w:tcW w:w="987" w:type="dxa"/>
            <w:tcBorders>
              <w:top w:val="nil"/>
              <w:bottom w:val="single" w:sz="4" w:space="0" w:color="auto"/>
            </w:tcBorders>
            <w:shd w:val="clear" w:color="auto" w:fill="auto"/>
            <w:noWrap/>
            <w:vAlign w:val="center"/>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52,2</w:t>
            </w:r>
          </w:p>
        </w:tc>
        <w:tc>
          <w:tcPr>
            <w:tcW w:w="951" w:type="dxa"/>
            <w:tcBorders>
              <w:top w:val="nil"/>
              <w:bottom w:val="single" w:sz="4" w:space="0" w:color="auto"/>
            </w:tcBorders>
            <w:shd w:val="clear" w:color="auto" w:fill="auto"/>
            <w:noWrap/>
            <w:vAlign w:val="center"/>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56,1</w:t>
            </w:r>
          </w:p>
        </w:tc>
        <w:tc>
          <w:tcPr>
            <w:tcW w:w="992" w:type="dxa"/>
            <w:tcBorders>
              <w:top w:val="nil"/>
              <w:bottom w:val="single" w:sz="4" w:space="0" w:color="auto"/>
            </w:tcBorders>
            <w:shd w:val="clear" w:color="auto" w:fill="auto"/>
            <w:noWrap/>
            <w:vAlign w:val="center"/>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56,0</w:t>
            </w:r>
          </w:p>
        </w:tc>
        <w:tc>
          <w:tcPr>
            <w:tcW w:w="1000" w:type="dxa"/>
            <w:tcBorders>
              <w:top w:val="nil"/>
              <w:bottom w:val="single" w:sz="4" w:space="0" w:color="auto"/>
              <w:right w:val="single" w:sz="12" w:space="0" w:color="auto"/>
            </w:tcBorders>
            <w:shd w:val="clear" w:color="auto" w:fill="auto"/>
            <w:noWrap/>
            <w:vAlign w:val="center"/>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57,6</w:t>
            </w:r>
          </w:p>
        </w:tc>
      </w:tr>
      <w:tr w:rsidR="00F76DC4" w:rsidRPr="00071923" w:rsidTr="008042B1">
        <w:trPr>
          <w:trHeight w:val="300"/>
        </w:trPr>
        <w:tc>
          <w:tcPr>
            <w:tcW w:w="4219" w:type="dxa"/>
            <w:tcBorders>
              <w:top w:val="single" w:sz="4" w:space="0" w:color="auto"/>
              <w:left w:val="single" w:sz="12" w:space="0" w:color="auto"/>
              <w:bottom w:val="nil"/>
            </w:tcBorders>
            <w:shd w:val="clear" w:color="auto" w:fill="auto"/>
            <w:noWrap/>
            <w:vAlign w:val="center"/>
            <w:hideMark/>
          </w:tcPr>
          <w:p w:rsidR="00F76DC4" w:rsidRPr="00071923" w:rsidRDefault="00F76DC4" w:rsidP="008042B1">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Genel Devlet Dengesi</w:t>
            </w:r>
          </w:p>
        </w:tc>
        <w:tc>
          <w:tcPr>
            <w:tcW w:w="980" w:type="dxa"/>
            <w:tcBorders>
              <w:top w:val="single" w:sz="4" w:space="0" w:color="auto"/>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-11,7</w:t>
            </w:r>
          </w:p>
        </w:tc>
        <w:tc>
          <w:tcPr>
            <w:tcW w:w="987" w:type="dxa"/>
            <w:tcBorders>
              <w:top w:val="single" w:sz="4" w:space="0" w:color="auto"/>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-13,7</w:t>
            </w:r>
          </w:p>
        </w:tc>
        <w:tc>
          <w:tcPr>
            <w:tcW w:w="951" w:type="dxa"/>
            <w:tcBorders>
              <w:top w:val="single" w:sz="4" w:space="0" w:color="auto"/>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-8,9</w:t>
            </w:r>
          </w:p>
        </w:tc>
        <w:tc>
          <w:tcPr>
            <w:tcW w:w="992" w:type="dxa"/>
            <w:tcBorders>
              <w:top w:val="single" w:sz="4" w:space="0" w:color="auto"/>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-3,7</w:t>
            </w:r>
          </w:p>
        </w:tc>
        <w:tc>
          <w:tcPr>
            <w:tcW w:w="1000" w:type="dxa"/>
            <w:tcBorders>
              <w:top w:val="single" w:sz="4" w:space="0" w:color="auto"/>
              <w:bottom w:val="nil"/>
              <w:right w:val="single" w:sz="12" w:space="0" w:color="auto"/>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2,7</w:t>
            </w:r>
          </w:p>
        </w:tc>
      </w:tr>
      <w:tr w:rsidR="00F76DC4" w:rsidRPr="00071923" w:rsidTr="008042B1">
        <w:trPr>
          <w:trHeight w:val="300"/>
        </w:trPr>
        <w:tc>
          <w:tcPr>
            <w:tcW w:w="4219" w:type="dxa"/>
            <w:tcBorders>
              <w:top w:val="nil"/>
              <w:left w:val="single" w:sz="12" w:space="0" w:color="auto"/>
              <w:bottom w:val="nil"/>
            </w:tcBorders>
            <w:shd w:val="clear" w:color="auto" w:fill="auto"/>
            <w:noWrap/>
            <w:vAlign w:val="center"/>
            <w:hideMark/>
          </w:tcPr>
          <w:p w:rsidR="00F76DC4" w:rsidRPr="00071923" w:rsidRDefault="00F76DC4" w:rsidP="008042B1">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Faiz Giderleri Hariç Denge</w:t>
            </w:r>
          </w:p>
        </w:tc>
        <w:tc>
          <w:tcPr>
            <w:tcW w:w="980" w:type="dxa"/>
            <w:tcBorders>
              <w:top w:val="nil"/>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39,9</w:t>
            </w:r>
          </w:p>
        </w:tc>
        <w:tc>
          <w:tcPr>
            <w:tcW w:w="987" w:type="dxa"/>
            <w:tcBorders>
              <w:top w:val="nil"/>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38,5</w:t>
            </w:r>
          </w:p>
        </w:tc>
        <w:tc>
          <w:tcPr>
            <w:tcW w:w="951" w:type="dxa"/>
            <w:tcBorders>
              <w:top w:val="nil"/>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47,2</w:t>
            </w:r>
          </w:p>
        </w:tc>
        <w:tc>
          <w:tcPr>
            <w:tcW w:w="992" w:type="dxa"/>
            <w:tcBorders>
              <w:top w:val="nil"/>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52,4</w:t>
            </w:r>
          </w:p>
        </w:tc>
        <w:tc>
          <w:tcPr>
            <w:tcW w:w="1000" w:type="dxa"/>
            <w:tcBorders>
              <w:top w:val="nil"/>
              <w:bottom w:val="nil"/>
              <w:right w:val="single" w:sz="12" w:space="0" w:color="auto"/>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60,3</w:t>
            </w:r>
          </w:p>
        </w:tc>
      </w:tr>
      <w:tr w:rsidR="00F76DC4" w:rsidRPr="00071923" w:rsidTr="008042B1">
        <w:trPr>
          <w:trHeight w:val="300"/>
        </w:trPr>
        <w:tc>
          <w:tcPr>
            <w:tcW w:w="4219" w:type="dxa"/>
            <w:tcBorders>
              <w:top w:val="nil"/>
              <w:left w:val="single" w:sz="12" w:space="0" w:color="auto"/>
              <w:bottom w:val="nil"/>
            </w:tcBorders>
            <w:shd w:val="clear" w:color="auto" w:fill="auto"/>
            <w:noWrap/>
            <w:vAlign w:val="center"/>
            <w:hideMark/>
          </w:tcPr>
          <w:p w:rsidR="00F76DC4" w:rsidRPr="00071923" w:rsidRDefault="00F76DC4" w:rsidP="008042B1">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Özelleştirme Gelirleri Hariç Denge</w:t>
            </w:r>
          </w:p>
        </w:tc>
        <w:tc>
          <w:tcPr>
            <w:tcW w:w="980" w:type="dxa"/>
            <w:tcBorders>
              <w:top w:val="nil"/>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-24,3</w:t>
            </w:r>
          </w:p>
        </w:tc>
        <w:tc>
          <w:tcPr>
            <w:tcW w:w="987" w:type="dxa"/>
            <w:tcBorders>
              <w:top w:val="nil"/>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-24,3</w:t>
            </w:r>
          </w:p>
        </w:tc>
        <w:tc>
          <w:tcPr>
            <w:tcW w:w="951" w:type="dxa"/>
            <w:tcBorders>
              <w:top w:val="nil"/>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-20,7</w:t>
            </w:r>
          </w:p>
        </w:tc>
        <w:tc>
          <w:tcPr>
            <w:tcW w:w="992" w:type="dxa"/>
            <w:tcBorders>
              <w:top w:val="nil"/>
              <w:bottom w:val="nil"/>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-13,6</w:t>
            </w:r>
          </w:p>
        </w:tc>
        <w:tc>
          <w:tcPr>
            <w:tcW w:w="1000" w:type="dxa"/>
            <w:tcBorders>
              <w:top w:val="nil"/>
              <w:bottom w:val="nil"/>
              <w:right w:val="single" w:sz="12" w:space="0" w:color="auto"/>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-2,8</w:t>
            </w:r>
          </w:p>
        </w:tc>
      </w:tr>
      <w:tr w:rsidR="00F76DC4" w:rsidRPr="00071923" w:rsidTr="008042B1">
        <w:trPr>
          <w:trHeight w:val="300"/>
        </w:trPr>
        <w:tc>
          <w:tcPr>
            <w:tcW w:w="4219" w:type="dxa"/>
            <w:tcBorders>
              <w:top w:val="nil"/>
              <w:left w:val="single" w:sz="12" w:space="0" w:color="auto"/>
              <w:bottom w:val="single" w:sz="12" w:space="0" w:color="auto"/>
            </w:tcBorders>
            <w:shd w:val="clear" w:color="auto" w:fill="auto"/>
            <w:noWrap/>
            <w:vAlign w:val="center"/>
            <w:hideMark/>
          </w:tcPr>
          <w:p w:rsidR="00F76DC4" w:rsidRPr="00071923" w:rsidRDefault="00F76DC4" w:rsidP="008042B1">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Faiz Gideri ve Özelleştirme Geliri Hariç Denge</w:t>
            </w:r>
          </w:p>
        </w:tc>
        <w:tc>
          <w:tcPr>
            <w:tcW w:w="980" w:type="dxa"/>
            <w:tcBorders>
              <w:top w:val="nil"/>
              <w:bottom w:val="single" w:sz="12" w:space="0" w:color="auto"/>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27,3</w:t>
            </w:r>
          </w:p>
        </w:tc>
        <w:tc>
          <w:tcPr>
            <w:tcW w:w="987" w:type="dxa"/>
            <w:tcBorders>
              <w:top w:val="nil"/>
              <w:bottom w:val="single" w:sz="12" w:space="0" w:color="auto"/>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27,9</w:t>
            </w:r>
          </w:p>
        </w:tc>
        <w:tc>
          <w:tcPr>
            <w:tcW w:w="951" w:type="dxa"/>
            <w:tcBorders>
              <w:top w:val="nil"/>
              <w:bottom w:val="single" w:sz="12" w:space="0" w:color="auto"/>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35,4</w:t>
            </w:r>
          </w:p>
        </w:tc>
        <w:tc>
          <w:tcPr>
            <w:tcW w:w="992" w:type="dxa"/>
            <w:tcBorders>
              <w:top w:val="nil"/>
              <w:bottom w:val="single" w:sz="12" w:space="0" w:color="auto"/>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42,4</w:t>
            </w:r>
          </w:p>
        </w:tc>
        <w:tc>
          <w:tcPr>
            <w:tcW w:w="1000" w:type="dxa"/>
            <w:tcBorders>
              <w:top w:val="nil"/>
              <w:bottom w:val="single" w:sz="12" w:space="0" w:color="auto"/>
              <w:right w:val="single" w:sz="12" w:space="0" w:color="auto"/>
            </w:tcBorders>
            <w:shd w:val="clear" w:color="auto" w:fill="auto"/>
            <w:noWrap/>
            <w:vAlign w:val="center"/>
            <w:hideMark/>
          </w:tcPr>
          <w:p w:rsidR="00F76DC4" w:rsidRPr="00A10957" w:rsidRDefault="00F76DC4" w:rsidP="008042B1">
            <w:pPr>
              <w:spacing w:after="0" w:line="240" w:lineRule="auto"/>
              <w:jc w:val="right"/>
              <w:rPr>
                <w:rFonts w:ascii="Arial" w:eastAsia="Times New Roman" w:hAnsi="Arial" w:cs="Arial"/>
                <w:b/>
                <w:bCs/>
                <w:color w:val="000000"/>
                <w:sz w:val="18"/>
                <w:szCs w:val="18"/>
                <w:lang w:eastAsia="tr-TR"/>
              </w:rPr>
            </w:pPr>
            <w:r w:rsidRPr="00A10957">
              <w:rPr>
                <w:rFonts w:ascii="Arial" w:eastAsia="Times New Roman" w:hAnsi="Arial" w:cs="Arial"/>
                <w:b/>
                <w:bCs/>
                <w:color w:val="000000"/>
                <w:sz w:val="18"/>
                <w:szCs w:val="18"/>
                <w:lang w:eastAsia="tr-TR"/>
              </w:rPr>
              <w:t>54,8</w:t>
            </w:r>
          </w:p>
        </w:tc>
      </w:tr>
      <w:tr w:rsidR="00F76DC4" w:rsidRPr="00071923" w:rsidTr="008042B1">
        <w:trPr>
          <w:trHeight w:val="300"/>
        </w:trPr>
        <w:tc>
          <w:tcPr>
            <w:tcW w:w="4219" w:type="dxa"/>
            <w:tcBorders>
              <w:top w:val="single" w:sz="12" w:space="0" w:color="auto"/>
              <w:left w:val="single" w:sz="12" w:space="0" w:color="auto"/>
              <w:bottom w:val="single" w:sz="4" w:space="0" w:color="auto"/>
            </w:tcBorders>
            <w:shd w:val="clear" w:color="auto" w:fill="auto"/>
            <w:noWrap/>
            <w:hideMark/>
          </w:tcPr>
          <w:p w:rsidR="00F76DC4" w:rsidRPr="00071923" w:rsidRDefault="00F76DC4" w:rsidP="008042B1">
            <w:pPr>
              <w:spacing w:after="0" w:line="240" w:lineRule="auto"/>
              <w:rPr>
                <w:rFonts w:ascii="Arial" w:eastAsia="Times New Roman" w:hAnsi="Arial" w:cs="Arial"/>
                <w:sz w:val="18"/>
                <w:szCs w:val="18"/>
                <w:lang w:eastAsia="tr-TR"/>
              </w:rPr>
            </w:pPr>
            <w:r w:rsidRPr="00071923">
              <w:rPr>
                <w:rFonts w:ascii="Arial" w:eastAsia="Times New Roman" w:hAnsi="Arial" w:cs="Arial"/>
                <w:sz w:val="18"/>
                <w:szCs w:val="18"/>
                <w:lang w:eastAsia="tr-TR"/>
              </w:rPr>
              <w:t> </w:t>
            </w:r>
          </w:p>
        </w:tc>
        <w:tc>
          <w:tcPr>
            <w:tcW w:w="4910" w:type="dxa"/>
            <w:gridSpan w:val="5"/>
            <w:tcBorders>
              <w:top w:val="single" w:sz="12" w:space="0" w:color="auto"/>
              <w:bottom w:val="single" w:sz="4" w:space="0" w:color="auto"/>
              <w:right w:val="single" w:sz="12" w:space="0" w:color="auto"/>
            </w:tcBorders>
            <w:shd w:val="clear" w:color="auto" w:fill="auto"/>
            <w:noWrap/>
            <w:vAlign w:val="center"/>
            <w:hideMark/>
          </w:tcPr>
          <w:p w:rsidR="00F76DC4" w:rsidRPr="00071923" w:rsidRDefault="00F76DC4" w:rsidP="008042B1">
            <w:pPr>
              <w:spacing w:after="0" w:line="240" w:lineRule="auto"/>
              <w:jc w:val="center"/>
              <w:rPr>
                <w:rFonts w:ascii="Arial" w:eastAsia="Times New Roman" w:hAnsi="Arial" w:cs="Arial"/>
                <w:sz w:val="18"/>
                <w:szCs w:val="18"/>
                <w:lang w:eastAsia="tr-TR"/>
              </w:rPr>
            </w:pPr>
            <w:r w:rsidRPr="00071923">
              <w:rPr>
                <w:rFonts w:ascii="Arial" w:hAnsi="Arial" w:cs="Arial"/>
                <w:sz w:val="18"/>
                <w:szCs w:val="18"/>
              </w:rPr>
              <w:t>(</w:t>
            </w:r>
            <w:proofErr w:type="spellStart"/>
            <w:r w:rsidRPr="00071923">
              <w:rPr>
                <w:rFonts w:ascii="Arial" w:hAnsi="Arial" w:cs="Arial"/>
                <w:sz w:val="18"/>
                <w:szCs w:val="18"/>
              </w:rPr>
              <w:t>GSYH’ya</w:t>
            </w:r>
            <w:proofErr w:type="spellEnd"/>
            <w:r w:rsidRPr="00071923">
              <w:rPr>
                <w:rFonts w:ascii="Arial" w:hAnsi="Arial" w:cs="Arial"/>
                <w:sz w:val="18"/>
                <w:szCs w:val="18"/>
              </w:rPr>
              <w:t xml:space="preserve"> Oran, Yüzde)</w:t>
            </w:r>
          </w:p>
        </w:tc>
      </w:tr>
      <w:tr w:rsidR="00F76DC4" w:rsidRPr="00071923" w:rsidTr="008042B1">
        <w:trPr>
          <w:trHeight w:val="300"/>
        </w:trPr>
        <w:tc>
          <w:tcPr>
            <w:tcW w:w="4219" w:type="dxa"/>
            <w:tcBorders>
              <w:left w:val="single" w:sz="12" w:space="0" w:color="auto"/>
              <w:bottom w:val="nil"/>
            </w:tcBorders>
            <w:shd w:val="clear" w:color="auto" w:fill="auto"/>
            <w:noWrap/>
            <w:vAlign w:val="center"/>
            <w:hideMark/>
          </w:tcPr>
          <w:p w:rsidR="00F76DC4" w:rsidRPr="00071923" w:rsidRDefault="00F76DC4" w:rsidP="008042B1">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Gelirler</w:t>
            </w:r>
          </w:p>
        </w:tc>
        <w:tc>
          <w:tcPr>
            <w:tcW w:w="980" w:type="dxa"/>
            <w:tcBorders>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40,0</w:t>
            </w:r>
          </w:p>
        </w:tc>
        <w:tc>
          <w:tcPr>
            <w:tcW w:w="987" w:type="dxa"/>
            <w:tcBorders>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39,1</w:t>
            </w:r>
          </w:p>
        </w:tc>
        <w:tc>
          <w:tcPr>
            <w:tcW w:w="951" w:type="dxa"/>
            <w:tcBorders>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38,2</w:t>
            </w:r>
          </w:p>
        </w:tc>
        <w:tc>
          <w:tcPr>
            <w:tcW w:w="992" w:type="dxa"/>
            <w:tcBorders>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37,7</w:t>
            </w:r>
          </w:p>
        </w:tc>
        <w:tc>
          <w:tcPr>
            <w:tcW w:w="1000" w:type="dxa"/>
            <w:tcBorders>
              <w:bottom w:val="nil"/>
              <w:right w:val="single" w:sz="12" w:space="0" w:color="auto"/>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37,3</w:t>
            </w:r>
          </w:p>
        </w:tc>
      </w:tr>
      <w:tr w:rsidR="00F76DC4" w:rsidRPr="00071923" w:rsidTr="008042B1">
        <w:trPr>
          <w:trHeight w:val="300"/>
        </w:trPr>
        <w:tc>
          <w:tcPr>
            <w:tcW w:w="4219" w:type="dxa"/>
            <w:tcBorders>
              <w:top w:val="nil"/>
              <w:left w:val="single" w:sz="12" w:space="0" w:color="auto"/>
              <w:bottom w:val="nil"/>
            </w:tcBorders>
            <w:shd w:val="clear" w:color="auto" w:fill="auto"/>
            <w:noWrap/>
            <w:vAlign w:val="center"/>
            <w:hideMark/>
          </w:tcPr>
          <w:p w:rsidR="00F76DC4" w:rsidRPr="003B0944" w:rsidRDefault="00F76DC4" w:rsidP="008042B1">
            <w:pPr>
              <w:spacing w:after="0" w:line="240" w:lineRule="auto"/>
              <w:ind w:firstLineChars="200" w:firstLine="360"/>
              <w:rPr>
                <w:rFonts w:ascii="Arial" w:eastAsia="Times New Roman" w:hAnsi="Arial" w:cs="Arial"/>
                <w:sz w:val="18"/>
                <w:szCs w:val="18"/>
                <w:lang w:eastAsia="tr-TR"/>
              </w:rPr>
            </w:pPr>
            <w:r w:rsidRPr="003B0944">
              <w:rPr>
                <w:rFonts w:ascii="Arial" w:eastAsia="Times New Roman" w:hAnsi="Arial" w:cs="Arial"/>
                <w:sz w:val="18"/>
                <w:szCs w:val="18"/>
                <w:lang w:eastAsia="tr-TR"/>
              </w:rPr>
              <w:t>Vergiler</w:t>
            </w:r>
          </w:p>
        </w:tc>
        <w:tc>
          <w:tcPr>
            <w:tcW w:w="980"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21,4</w:t>
            </w:r>
          </w:p>
        </w:tc>
        <w:tc>
          <w:tcPr>
            <w:tcW w:w="987"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20,5</w:t>
            </w:r>
          </w:p>
        </w:tc>
        <w:tc>
          <w:tcPr>
            <w:tcW w:w="951"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20,6</w:t>
            </w:r>
          </w:p>
        </w:tc>
        <w:tc>
          <w:tcPr>
            <w:tcW w:w="992"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20,7</w:t>
            </w:r>
          </w:p>
        </w:tc>
        <w:tc>
          <w:tcPr>
            <w:tcW w:w="1000" w:type="dxa"/>
            <w:tcBorders>
              <w:top w:val="nil"/>
              <w:bottom w:val="nil"/>
              <w:right w:val="single" w:sz="12" w:space="0" w:color="auto"/>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20,5</w:t>
            </w:r>
          </w:p>
        </w:tc>
      </w:tr>
      <w:tr w:rsidR="00F76DC4" w:rsidRPr="00071923" w:rsidTr="008042B1">
        <w:trPr>
          <w:trHeight w:val="300"/>
        </w:trPr>
        <w:tc>
          <w:tcPr>
            <w:tcW w:w="4219" w:type="dxa"/>
            <w:tcBorders>
              <w:top w:val="nil"/>
              <w:left w:val="single" w:sz="12" w:space="0" w:color="auto"/>
              <w:bottom w:val="nil"/>
            </w:tcBorders>
            <w:shd w:val="clear" w:color="auto" w:fill="auto"/>
            <w:noWrap/>
            <w:vAlign w:val="center"/>
            <w:hideMark/>
          </w:tcPr>
          <w:p w:rsidR="00F76DC4" w:rsidRPr="003B0944" w:rsidRDefault="00F76DC4" w:rsidP="008042B1">
            <w:pPr>
              <w:spacing w:after="0" w:line="240" w:lineRule="auto"/>
              <w:ind w:firstLineChars="200" w:firstLine="360"/>
              <w:rPr>
                <w:rFonts w:ascii="Arial" w:eastAsia="Times New Roman" w:hAnsi="Arial" w:cs="Arial"/>
                <w:sz w:val="18"/>
                <w:szCs w:val="18"/>
                <w:lang w:eastAsia="tr-TR"/>
              </w:rPr>
            </w:pPr>
            <w:r w:rsidRPr="003B0944">
              <w:rPr>
                <w:rFonts w:ascii="Arial" w:eastAsia="Times New Roman" w:hAnsi="Arial" w:cs="Arial"/>
                <w:sz w:val="18"/>
                <w:szCs w:val="18"/>
                <w:lang w:eastAsia="tr-TR"/>
              </w:rPr>
              <w:t>Vergi Dışı Normal Gelirler</w:t>
            </w:r>
          </w:p>
        </w:tc>
        <w:tc>
          <w:tcPr>
            <w:tcW w:w="980"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1,9</w:t>
            </w:r>
          </w:p>
        </w:tc>
        <w:tc>
          <w:tcPr>
            <w:tcW w:w="987"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2,2</w:t>
            </w:r>
          </w:p>
        </w:tc>
        <w:tc>
          <w:tcPr>
            <w:tcW w:w="951"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1,8</w:t>
            </w:r>
          </w:p>
        </w:tc>
        <w:tc>
          <w:tcPr>
            <w:tcW w:w="992"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1,8</w:t>
            </w:r>
          </w:p>
        </w:tc>
        <w:tc>
          <w:tcPr>
            <w:tcW w:w="1000" w:type="dxa"/>
            <w:tcBorders>
              <w:top w:val="nil"/>
              <w:bottom w:val="nil"/>
              <w:right w:val="single" w:sz="12" w:space="0" w:color="auto"/>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1,9</w:t>
            </w:r>
          </w:p>
        </w:tc>
      </w:tr>
      <w:tr w:rsidR="00F76DC4" w:rsidRPr="00071923" w:rsidTr="008042B1">
        <w:trPr>
          <w:trHeight w:val="300"/>
        </w:trPr>
        <w:tc>
          <w:tcPr>
            <w:tcW w:w="4219" w:type="dxa"/>
            <w:tcBorders>
              <w:top w:val="nil"/>
              <w:left w:val="single" w:sz="12" w:space="0" w:color="auto"/>
              <w:bottom w:val="nil"/>
            </w:tcBorders>
            <w:shd w:val="clear" w:color="auto" w:fill="auto"/>
            <w:noWrap/>
            <w:vAlign w:val="center"/>
            <w:hideMark/>
          </w:tcPr>
          <w:p w:rsidR="00F76DC4" w:rsidRPr="003B0944" w:rsidRDefault="00F76DC4" w:rsidP="008042B1">
            <w:pPr>
              <w:spacing w:after="0" w:line="240" w:lineRule="auto"/>
              <w:ind w:firstLineChars="200" w:firstLine="360"/>
              <w:rPr>
                <w:rFonts w:ascii="Arial" w:eastAsia="Times New Roman" w:hAnsi="Arial" w:cs="Arial"/>
                <w:sz w:val="18"/>
                <w:szCs w:val="18"/>
                <w:lang w:eastAsia="tr-TR"/>
              </w:rPr>
            </w:pPr>
            <w:r w:rsidRPr="003B0944">
              <w:rPr>
                <w:rFonts w:ascii="Arial" w:eastAsia="Times New Roman" w:hAnsi="Arial" w:cs="Arial"/>
                <w:sz w:val="18"/>
                <w:szCs w:val="18"/>
                <w:lang w:eastAsia="tr-TR"/>
              </w:rPr>
              <w:t>Faktör Gelirleri</w:t>
            </w:r>
          </w:p>
        </w:tc>
        <w:tc>
          <w:tcPr>
            <w:tcW w:w="980"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5,8</w:t>
            </w:r>
          </w:p>
        </w:tc>
        <w:tc>
          <w:tcPr>
            <w:tcW w:w="987"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5,7</w:t>
            </w:r>
          </w:p>
        </w:tc>
        <w:tc>
          <w:tcPr>
            <w:tcW w:w="951"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5,0</w:t>
            </w:r>
          </w:p>
        </w:tc>
        <w:tc>
          <w:tcPr>
            <w:tcW w:w="992"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4,7</w:t>
            </w:r>
          </w:p>
        </w:tc>
        <w:tc>
          <w:tcPr>
            <w:tcW w:w="1000" w:type="dxa"/>
            <w:tcBorders>
              <w:top w:val="nil"/>
              <w:bottom w:val="nil"/>
              <w:right w:val="single" w:sz="12" w:space="0" w:color="auto"/>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4,6</w:t>
            </w:r>
          </w:p>
        </w:tc>
      </w:tr>
      <w:tr w:rsidR="00F76DC4" w:rsidRPr="00071923" w:rsidTr="008042B1">
        <w:trPr>
          <w:trHeight w:val="300"/>
        </w:trPr>
        <w:tc>
          <w:tcPr>
            <w:tcW w:w="4219" w:type="dxa"/>
            <w:tcBorders>
              <w:top w:val="nil"/>
              <w:left w:val="single" w:sz="12" w:space="0" w:color="auto"/>
              <w:bottom w:val="nil"/>
            </w:tcBorders>
            <w:shd w:val="clear" w:color="auto" w:fill="auto"/>
            <w:noWrap/>
            <w:vAlign w:val="center"/>
            <w:hideMark/>
          </w:tcPr>
          <w:p w:rsidR="00F76DC4" w:rsidRPr="003B0944" w:rsidRDefault="00F76DC4" w:rsidP="008042B1">
            <w:pPr>
              <w:spacing w:after="0" w:line="240" w:lineRule="auto"/>
              <w:ind w:firstLineChars="200" w:firstLine="360"/>
              <w:rPr>
                <w:rFonts w:ascii="Arial" w:eastAsia="Times New Roman" w:hAnsi="Arial" w:cs="Arial"/>
                <w:sz w:val="18"/>
                <w:szCs w:val="18"/>
                <w:lang w:eastAsia="tr-TR"/>
              </w:rPr>
            </w:pPr>
            <w:r w:rsidRPr="003B0944">
              <w:rPr>
                <w:rFonts w:ascii="Arial" w:eastAsia="Times New Roman" w:hAnsi="Arial" w:cs="Arial"/>
                <w:sz w:val="18"/>
                <w:szCs w:val="18"/>
                <w:lang w:eastAsia="tr-TR"/>
              </w:rPr>
              <w:t>Sosyal Fonlar</w:t>
            </w:r>
          </w:p>
        </w:tc>
        <w:tc>
          <w:tcPr>
            <w:tcW w:w="980"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10,1</w:t>
            </w:r>
          </w:p>
        </w:tc>
        <w:tc>
          <w:tcPr>
            <w:tcW w:w="987"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10,1</w:t>
            </w:r>
          </w:p>
        </w:tc>
        <w:tc>
          <w:tcPr>
            <w:tcW w:w="951"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10,2</w:t>
            </w:r>
          </w:p>
        </w:tc>
        <w:tc>
          <w:tcPr>
            <w:tcW w:w="992"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10,0</w:t>
            </w:r>
          </w:p>
        </w:tc>
        <w:tc>
          <w:tcPr>
            <w:tcW w:w="1000" w:type="dxa"/>
            <w:tcBorders>
              <w:top w:val="nil"/>
              <w:bottom w:val="nil"/>
              <w:right w:val="single" w:sz="12" w:space="0" w:color="auto"/>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10,0</w:t>
            </w:r>
          </w:p>
        </w:tc>
      </w:tr>
      <w:tr w:rsidR="00F76DC4" w:rsidRPr="00071923" w:rsidTr="008042B1">
        <w:trPr>
          <w:trHeight w:val="300"/>
        </w:trPr>
        <w:tc>
          <w:tcPr>
            <w:tcW w:w="4219" w:type="dxa"/>
            <w:tcBorders>
              <w:top w:val="nil"/>
              <w:left w:val="single" w:sz="12" w:space="0" w:color="auto"/>
              <w:bottom w:val="nil"/>
            </w:tcBorders>
            <w:shd w:val="clear" w:color="auto" w:fill="auto"/>
            <w:noWrap/>
            <w:vAlign w:val="center"/>
            <w:hideMark/>
          </w:tcPr>
          <w:p w:rsidR="00F76DC4" w:rsidRPr="003B0944" w:rsidRDefault="00F76DC4" w:rsidP="008042B1">
            <w:pPr>
              <w:spacing w:after="0" w:line="240" w:lineRule="auto"/>
              <w:ind w:firstLineChars="200" w:firstLine="360"/>
              <w:rPr>
                <w:rFonts w:ascii="Arial" w:eastAsia="Times New Roman" w:hAnsi="Arial" w:cs="Arial"/>
                <w:sz w:val="18"/>
                <w:szCs w:val="18"/>
                <w:lang w:eastAsia="tr-TR"/>
              </w:rPr>
            </w:pPr>
            <w:r w:rsidRPr="003B0944">
              <w:rPr>
                <w:rFonts w:ascii="Arial" w:eastAsia="Times New Roman" w:hAnsi="Arial" w:cs="Arial"/>
                <w:sz w:val="18"/>
                <w:szCs w:val="18"/>
                <w:lang w:eastAsia="tr-TR"/>
              </w:rPr>
              <w:t>Özelleştirme Gelirleri</w:t>
            </w:r>
          </w:p>
        </w:tc>
        <w:tc>
          <w:tcPr>
            <w:tcW w:w="980"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0,8</w:t>
            </w:r>
          </w:p>
        </w:tc>
        <w:tc>
          <w:tcPr>
            <w:tcW w:w="987"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0,6</w:t>
            </w:r>
          </w:p>
        </w:tc>
        <w:tc>
          <w:tcPr>
            <w:tcW w:w="951"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0,6</w:t>
            </w:r>
          </w:p>
        </w:tc>
        <w:tc>
          <w:tcPr>
            <w:tcW w:w="992"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0,5</w:t>
            </w:r>
          </w:p>
        </w:tc>
        <w:tc>
          <w:tcPr>
            <w:tcW w:w="1000" w:type="dxa"/>
            <w:tcBorders>
              <w:top w:val="nil"/>
              <w:bottom w:val="nil"/>
              <w:right w:val="single" w:sz="12" w:space="0" w:color="auto"/>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0,2</w:t>
            </w:r>
          </w:p>
        </w:tc>
      </w:tr>
      <w:tr w:rsidR="00F76DC4" w:rsidRPr="00071923" w:rsidTr="008042B1">
        <w:trPr>
          <w:trHeight w:val="300"/>
        </w:trPr>
        <w:tc>
          <w:tcPr>
            <w:tcW w:w="4219" w:type="dxa"/>
            <w:tcBorders>
              <w:top w:val="nil"/>
              <w:left w:val="single" w:sz="12" w:space="0" w:color="auto"/>
              <w:bottom w:val="nil"/>
            </w:tcBorders>
            <w:shd w:val="clear" w:color="auto" w:fill="auto"/>
            <w:noWrap/>
            <w:vAlign w:val="center"/>
            <w:hideMark/>
          </w:tcPr>
          <w:p w:rsidR="00F76DC4" w:rsidRPr="00071923" w:rsidRDefault="00F76DC4" w:rsidP="008042B1">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Harcamalar</w:t>
            </w:r>
          </w:p>
        </w:tc>
        <w:tc>
          <w:tcPr>
            <w:tcW w:w="980"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40,7</w:t>
            </w:r>
          </w:p>
        </w:tc>
        <w:tc>
          <w:tcPr>
            <w:tcW w:w="987"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39,8</w:t>
            </w:r>
          </w:p>
        </w:tc>
        <w:tc>
          <w:tcPr>
            <w:tcW w:w="951"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38,7</w:t>
            </w:r>
          </w:p>
        </w:tc>
        <w:tc>
          <w:tcPr>
            <w:tcW w:w="992"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37,8</w:t>
            </w:r>
          </w:p>
        </w:tc>
        <w:tc>
          <w:tcPr>
            <w:tcW w:w="1000" w:type="dxa"/>
            <w:tcBorders>
              <w:top w:val="nil"/>
              <w:bottom w:val="nil"/>
              <w:right w:val="single" w:sz="12" w:space="0" w:color="auto"/>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37,2</w:t>
            </w:r>
          </w:p>
        </w:tc>
      </w:tr>
      <w:tr w:rsidR="00F76DC4" w:rsidRPr="00071923" w:rsidTr="008042B1">
        <w:trPr>
          <w:trHeight w:val="300"/>
        </w:trPr>
        <w:tc>
          <w:tcPr>
            <w:tcW w:w="4219" w:type="dxa"/>
            <w:tcBorders>
              <w:top w:val="nil"/>
              <w:left w:val="single" w:sz="12" w:space="0" w:color="auto"/>
              <w:bottom w:val="nil"/>
            </w:tcBorders>
            <w:shd w:val="clear" w:color="auto" w:fill="auto"/>
            <w:noWrap/>
            <w:vAlign w:val="center"/>
          </w:tcPr>
          <w:p w:rsidR="00F76DC4" w:rsidRPr="00471C4A" w:rsidRDefault="00F76DC4" w:rsidP="008042B1">
            <w:pPr>
              <w:spacing w:after="0" w:line="240" w:lineRule="auto"/>
              <w:ind w:firstLineChars="200" w:firstLine="361"/>
              <w:rPr>
                <w:rFonts w:ascii="Arial" w:eastAsia="Times New Roman" w:hAnsi="Arial" w:cs="Arial"/>
                <w:b/>
                <w:sz w:val="18"/>
                <w:szCs w:val="18"/>
                <w:lang w:eastAsia="tr-TR"/>
              </w:rPr>
            </w:pPr>
            <w:r w:rsidRPr="00471C4A">
              <w:rPr>
                <w:rFonts w:ascii="Arial" w:eastAsia="Times New Roman" w:hAnsi="Arial" w:cs="Arial"/>
                <w:b/>
                <w:sz w:val="18"/>
                <w:szCs w:val="18"/>
                <w:lang w:eastAsia="tr-TR"/>
              </w:rPr>
              <w:t>Faiz Dışı Harcamalar</w:t>
            </w:r>
          </w:p>
        </w:tc>
        <w:tc>
          <w:tcPr>
            <w:tcW w:w="980" w:type="dxa"/>
            <w:tcBorders>
              <w:top w:val="nil"/>
              <w:bottom w:val="nil"/>
            </w:tcBorders>
            <w:shd w:val="clear" w:color="auto" w:fill="auto"/>
            <w:noWrap/>
            <w:vAlign w:val="center"/>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37,4</w:t>
            </w:r>
          </w:p>
        </w:tc>
        <w:tc>
          <w:tcPr>
            <w:tcW w:w="987" w:type="dxa"/>
            <w:tcBorders>
              <w:top w:val="nil"/>
              <w:bottom w:val="nil"/>
            </w:tcBorders>
            <w:shd w:val="clear" w:color="auto" w:fill="auto"/>
            <w:noWrap/>
            <w:vAlign w:val="center"/>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36,9</w:t>
            </w:r>
          </w:p>
        </w:tc>
        <w:tc>
          <w:tcPr>
            <w:tcW w:w="951" w:type="dxa"/>
            <w:tcBorders>
              <w:top w:val="nil"/>
              <w:bottom w:val="nil"/>
            </w:tcBorders>
            <w:shd w:val="clear" w:color="auto" w:fill="auto"/>
            <w:noWrap/>
            <w:vAlign w:val="center"/>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35,8</w:t>
            </w:r>
          </w:p>
        </w:tc>
        <w:tc>
          <w:tcPr>
            <w:tcW w:w="992" w:type="dxa"/>
            <w:tcBorders>
              <w:top w:val="nil"/>
              <w:bottom w:val="nil"/>
            </w:tcBorders>
            <w:shd w:val="clear" w:color="auto" w:fill="auto"/>
            <w:noWrap/>
            <w:vAlign w:val="center"/>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35,2</w:t>
            </w:r>
          </w:p>
        </w:tc>
        <w:tc>
          <w:tcPr>
            <w:tcW w:w="1000" w:type="dxa"/>
            <w:tcBorders>
              <w:top w:val="nil"/>
              <w:bottom w:val="nil"/>
              <w:right w:val="single" w:sz="12" w:space="0" w:color="auto"/>
            </w:tcBorders>
            <w:shd w:val="clear" w:color="auto" w:fill="auto"/>
            <w:noWrap/>
            <w:vAlign w:val="center"/>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34,7</w:t>
            </w:r>
          </w:p>
        </w:tc>
      </w:tr>
      <w:tr w:rsidR="00F76DC4" w:rsidRPr="00071923" w:rsidTr="008042B1">
        <w:trPr>
          <w:trHeight w:val="300"/>
        </w:trPr>
        <w:tc>
          <w:tcPr>
            <w:tcW w:w="4219" w:type="dxa"/>
            <w:tcBorders>
              <w:top w:val="nil"/>
              <w:left w:val="single" w:sz="12" w:space="0" w:color="auto"/>
              <w:bottom w:val="nil"/>
            </w:tcBorders>
            <w:shd w:val="clear" w:color="auto" w:fill="auto"/>
            <w:noWrap/>
            <w:vAlign w:val="center"/>
            <w:hideMark/>
          </w:tcPr>
          <w:p w:rsidR="00F76DC4" w:rsidRPr="003B0944" w:rsidRDefault="00F76DC4" w:rsidP="008042B1">
            <w:pPr>
              <w:spacing w:after="0" w:line="240" w:lineRule="auto"/>
              <w:ind w:firstLineChars="315" w:firstLine="567"/>
              <w:rPr>
                <w:rFonts w:ascii="Arial" w:eastAsia="Times New Roman" w:hAnsi="Arial" w:cs="Arial"/>
                <w:sz w:val="18"/>
                <w:szCs w:val="18"/>
                <w:lang w:eastAsia="tr-TR"/>
              </w:rPr>
            </w:pPr>
            <w:r w:rsidRPr="003B0944">
              <w:rPr>
                <w:rFonts w:ascii="Arial" w:eastAsia="Times New Roman" w:hAnsi="Arial" w:cs="Arial"/>
                <w:sz w:val="18"/>
                <w:szCs w:val="18"/>
                <w:lang w:eastAsia="tr-TR"/>
              </w:rPr>
              <w:t>Cari Harcamalar</w:t>
            </w:r>
          </w:p>
        </w:tc>
        <w:tc>
          <w:tcPr>
            <w:tcW w:w="980"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18,0</w:t>
            </w:r>
          </w:p>
        </w:tc>
        <w:tc>
          <w:tcPr>
            <w:tcW w:w="987"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17,8</w:t>
            </w:r>
          </w:p>
        </w:tc>
        <w:tc>
          <w:tcPr>
            <w:tcW w:w="951"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17,4</w:t>
            </w:r>
          </w:p>
        </w:tc>
        <w:tc>
          <w:tcPr>
            <w:tcW w:w="992"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17,1</w:t>
            </w:r>
          </w:p>
        </w:tc>
        <w:tc>
          <w:tcPr>
            <w:tcW w:w="1000" w:type="dxa"/>
            <w:tcBorders>
              <w:top w:val="nil"/>
              <w:bottom w:val="nil"/>
              <w:right w:val="single" w:sz="12" w:space="0" w:color="auto"/>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16,7</w:t>
            </w:r>
          </w:p>
        </w:tc>
      </w:tr>
      <w:tr w:rsidR="00F76DC4" w:rsidRPr="00071923" w:rsidTr="008042B1">
        <w:trPr>
          <w:trHeight w:val="300"/>
        </w:trPr>
        <w:tc>
          <w:tcPr>
            <w:tcW w:w="4219" w:type="dxa"/>
            <w:tcBorders>
              <w:top w:val="nil"/>
              <w:left w:val="single" w:sz="12" w:space="0" w:color="auto"/>
              <w:bottom w:val="nil"/>
            </w:tcBorders>
            <w:shd w:val="clear" w:color="auto" w:fill="auto"/>
            <w:noWrap/>
            <w:vAlign w:val="center"/>
            <w:hideMark/>
          </w:tcPr>
          <w:p w:rsidR="00F76DC4" w:rsidRPr="003B0944" w:rsidRDefault="00F76DC4" w:rsidP="008042B1">
            <w:pPr>
              <w:spacing w:after="0" w:line="240" w:lineRule="auto"/>
              <w:ind w:firstLineChars="315" w:firstLine="567"/>
              <w:rPr>
                <w:rFonts w:ascii="Arial" w:eastAsia="Times New Roman" w:hAnsi="Arial" w:cs="Arial"/>
                <w:sz w:val="18"/>
                <w:szCs w:val="18"/>
                <w:lang w:eastAsia="tr-TR"/>
              </w:rPr>
            </w:pPr>
            <w:r w:rsidRPr="003B0944">
              <w:rPr>
                <w:rFonts w:ascii="Arial" w:eastAsia="Times New Roman" w:hAnsi="Arial" w:cs="Arial"/>
                <w:sz w:val="18"/>
                <w:szCs w:val="18"/>
                <w:lang w:eastAsia="tr-TR"/>
              </w:rPr>
              <w:t>Yatırım Harcamaları</w:t>
            </w:r>
          </w:p>
        </w:tc>
        <w:tc>
          <w:tcPr>
            <w:tcW w:w="980"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4,2</w:t>
            </w:r>
          </w:p>
        </w:tc>
        <w:tc>
          <w:tcPr>
            <w:tcW w:w="987"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4,1</w:t>
            </w:r>
          </w:p>
        </w:tc>
        <w:tc>
          <w:tcPr>
            <w:tcW w:w="951"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3,7</w:t>
            </w:r>
          </w:p>
        </w:tc>
        <w:tc>
          <w:tcPr>
            <w:tcW w:w="992"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3,8</w:t>
            </w:r>
          </w:p>
        </w:tc>
        <w:tc>
          <w:tcPr>
            <w:tcW w:w="1000" w:type="dxa"/>
            <w:tcBorders>
              <w:top w:val="nil"/>
              <w:bottom w:val="nil"/>
              <w:right w:val="single" w:sz="12" w:space="0" w:color="auto"/>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3,8</w:t>
            </w:r>
          </w:p>
        </w:tc>
      </w:tr>
      <w:tr w:rsidR="00F76DC4" w:rsidRPr="00071923" w:rsidTr="008042B1">
        <w:trPr>
          <w:trHeight w:val="300"/>
        </w:trPr>
        <w:tc>
          <w:tcPr>
            <w:tcW w:w="4219" w:type="dxa"/>
            <w:tcBorders>
              <w:top w:val="nil"/>
              <w:left w:val="single" w:sz="12" w:space="0" w:color="auto"/>
              <w:bottom w:val="nil"/>
            </w:tcBorders>
            <w:shd w:val="clear" w:color="auto" w:fill="auto"/>
            <w:noWrap/>
            <w:vAlign w:val="center"/>
            <w:hideMark/>
          </w:tcPr>
          <w:p w:rsidR="00F76DC4" w:rsidRPr="003B0944" w:rsidRDefault="00F76DC4" w:rsidP="008042B1">
            <w:pPr>
              <w:spacing w:after="0" w:line="240" w:lineRule="auto"/>
              <w:ind w:firstLineChars="315" w:firstLine="567"/>
              <w:rPr>
                <w:rFonts w:ascii="Arial" w:eastAsia="Times New Roman" w:hAnsi="Arial" w:cs="Arial"/>
                <w:sz w:val="18"/>
                <w:szCs w:val="18"/>
                <w:lang w:eastAsia="tr-TR"/>
              </w:rPr>
            </w:pPr>
            <w:r w:rsidRPr="003B0944">
              <w:rPr>
                <w:rFonts w:ascii="Arial" w:eastAsia="Times New Roman" w:hAnsi="Arial" w:cs="Arial"/>
                <w:sz w:val="18"/>
                <w:szCs w:val="18"/>
                <w:lang w:eastAsia="tr-TR"/>
              </w:rPr>
              <w:t>Transfer Harcamaları</w:t>
            </w:r>
          </w:p>
        </w:tc>
        <w:tc>
          <w:tcPr>
            <w:tcW w:w="980"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15,2</w:t>
            </w:r>
          </w:p>
        </w:tc>
        <w:tc>
          <w:tcPr>
            <w:tcW w:w="987"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15,0</w:t>
            </w:r>
          </w:p>
        </w:tc>
        <w:tc>
          <w:tcPr>
            <w:tcW w:w="951"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14,7</w:t>
            </w:r>
          </w:p>
        </w:tc>
        <w:tc>
          <w:tcPr>
            <w:tcW w:w="992"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14,4</w:t>
            </w:r>
          </w:p>
        </w:tc>
        <w:tc>
          <w:tcPr>
            <w:tcW w:w="1000" w:type="dxa"/>
            <w:tcBorders>
              <w:top w:val="nil"/>
              <w:bottom w:val="nil"/>
              <w:right w:val="single" w:sz="12" w:space="0" w:color="auto"/>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14,3</w:t>
            </w:r>
          </w:p>
        </w:tc>
      </w:tr>
      <w:tr w:rsidR="00F76DC4" w:rsidRPr="00071923" w:rsidTr="008042B1">
        <w:trPr>
          <w:trHeight w:val="300"/>
        </w:trPr>
        <w:tc>
          <w:tcPr>
            <w:tcW w:w="4219" w:type="dxa"/>
            <w:tcBorders>
              <w:top w:val="nil"/>
              <w:left w:val="single" w:sz="12" w:space="0" w:color="auto"/>
              <w:bottom w:val="nil"/>
            </w:tcBorders>
            <w:shd w:val="clear" w:color="auto" w:fill="auto"/>
            <w:noWrap/>
            <w:vAlign w:val="center"/>
            <w:hideMark/>
          </w:tcPr>
          <w:p w:rsidR="00F76DC4" w:rsidRPr="003B0944" w:rsidRDefault="00F76DC4" w:rsidP="008042B1">
            <w:pPr>
              <w:spacing w:after="0" w:line="240" w:lineRule="auto"/>
              <w:ind w:firstLineChars="315" w:firstLine="567"/>
              <w:rPr>
                <w:rFonts w:ascii="Arial" w:eastAsia="Times New Roman" w:hAnsi="Arial" w:cs="Arial"/>
                <w:sz w:val="18"/>
                <w:szCs w:val="18"/>
                <w:lang w:eastAsia="tr-TR"/>
              </w:rPr>
            </w:pPr>
            <w:r w:rsidRPr="003B0944">
              <w:rPr>
                <w:rFonts w:ascii="Arial" w:eastAsia="Times New Roman" w:hAnsi="Arial" w:cs="Arial"/>
                <w:sz w:val="18"/>
                <w:szCs w:val="18"/>
                <w:lang w:eastAsia="tr-TR"/>
              </w:rPr>
              <w:t>Stok Değişim Fonu</w:t>
            </w:r>
          </w:p>
        </w:tc>
        <w:tc>
          <w:tcPr>
            <w:tcW w:w="980"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0,0</w:t>
            </w:r>
          </w:p>
        </w:tc>
        <w:tc>
          <w:tcPr>
            <w:tcW w:w="987"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0,0</w:t>
            </w:r>
          </w:p>
        </w:tc>
        <w:tc>
          <w:tcPr>
            <w:tcW w:w="951"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0,0</w:t>
            </w:r>
          </w:p>
        </w:tc>
        <w:tc>
          <w:tcPr>
            <w:tcW w:w="992"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0,0</w:t>
            </w:r>
          </w:p>
        </w:tc>
        <w:tc>
          <w:tcPr>
            <w:tcW w:w="1000" w:type="dxa"/>
            <w:tcBorders>
              <w:top w:val="nil"/>
              <w:bottom w:val="nil"/>
              <w:right w:val="single" w:sz="12" w:space="0" w:color="auto"/>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Cs/>
                <w:color w:val="000000"/>
                <w:sz w:val="18"/>
                <w:szCs w:val="18"/>
                <w:lang w:eastAsia="tr-TR"/>
              </w:rPr>
            </w:pPr>
            <w:r w:rsidRPr="003B0944">
              <w:rPr>
                <w:rFonts w:ascii="Arial" w:eastAsia="Times New Roman" w:hAnsi="Arial" w:cs="Arial"/>
                <w:bCs/>
                <w:color w:val="000000"/>
                <w:sz w:val="18"/>
                <w:szCs w:val="18"/>
                <w:lang w:eastAsia="tr-TR"/>
              </w:rPr>
              <w:t>0,0</w:t>
            </w:r>
          </w:p>
        </w:tc>
      </w:tr>
      <w:tr w:rsidR="00F76DC4" w:rsidRPr="00071923" w:rsidTr="008042B1">
        <w:trPr>
          <w:trHeight w:val="300"/>
        </w:trPr>
        <w:tc>
          <w:tcPr>
            <w:tcW w:w="4219" w:type="dxa"/>
            <w:tcBorders>
              <w:top w:val="nil"/>
              <w:left w:val="single" w:sz="12" w:space="0" w:color="auto"/>
              <w:bottom w:val="single" w:sz="4" w:space="0" w:color="auto"/>
            </w:tcBorders>
            <w:shd w:val="clear" w:color="auto" w:fill="auto"/>
            <w:noWrap/>
            <w:vAlign w:val="center"/>
          </w:tcPr>
          <w:p w:rsidR="00F76DC4" w:rsidRPr="00471C4A" w:rsidRDefault="00F76DC4" w:rsidP="008042B1">
            <w:pPr>
              <w:spacing w:after="0" w:line="240" w:lineRule="auto"/>
              <w:ind w:firstLineChars="200" w:firstLine="361"/>
              <w:rPr>
                <w:rFonts w:ascii="Arial" w:eastAsia="Times New Roman" w:hAnsi="Arial" w:cs="Arial"/>
                <w:b/>
                <w:bCs/>
                <w:color w:val="000000"/>
                <w:sz w:val="18"/>
                <w:szCs w:val="18"/>
                <w:lang w:eastAsia="tr-TR"/>
              </w:rPr>
            </w:pPr>
            <w:r w:rsidRPr="00471C4A">
              <w:rPr>
                <w:rFonts w:ascii="Arial" w:eastAsia="Times New Roman" w:hAnsi="Arial" w:cs="Arial"/>
                <w:b/>
                <w:sz w:val="18"/>
                <w:szCs w:val="18"/>
                <w:lang w:eastAsia="tr-TR"/>
              </w:rPr>
              <w:t>Faiz Harcamaları</w:t>
            </w:r>
          </w:p>
        </w:tc>
        <w:tc>
          <w:tcPr>
            <w:tcW w:w="980" w:type="dxa"/>
            <w:tcBorders>
              <w:top w:val="nil"/>
              <w:bottom w:val="single" w:sz="4" w:space="0" w:color="auto"/>
            </w:tcBorders>
            <w:shd w:val="clear" w:color="auto" w:fill="auto"/>
            <w:noWrap/>
            <w:vAlign w:val="center"/>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3,3</w:t>
            </w:r>
          </w:p>
        </w:tc>
        <w:tc>
          <w:tcPr>
            <w:tcW w:w="987" w:type="dxa"/>
            <w:tcBorders>
              <w:top w:val="nil"/>
              <w:bottom w:val="single" w:sz="4" w:space="0" w:color="auto"/>
            </w:tcBorders>
            <w:shd w:val="clear" w:color="auto" w:fill="auto"/>
            <w:noWrap/>
            <w:vAlign w:val="center"/>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3,0</w:t>
            </w:r>
          </w:p>
        </w:tc>
        <w:tc>
          <w:tcPr>
            <w:tcW w:w="951" w:type="dxa"/>
            <w:tcBorders>
              <w:top w:val="nil"/>
              <w:bottom w:val="single" w:sz="4" w:space="0" w:color="auto"/>
            </w:tcBorders>
            <w:shd w:val="clear" w:color="auto" w:fill="auto"/>
            <w:noWrap/>
            <w:vAlign w:val="center"/>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2,9</w:t>
            </w:r>
          </w:p>
        </w:tc>
        <w:tc>
          <w:tcPr>
            <w:tcW w:w="992" w:type="dxa"/>
            <w:tcBorders>
              <w:top w:val="nil"/>
              <w:bottom w:val="single" w:sz="4" w:space="0" w:color="auto"/>
            </w:tcBorders>
            <w:shd w:val="clear" w:color="auto" w:fill="auto"/>
            <w:noWrap/>
            <w:vAlign w:val="center"/>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2,6</w:t>
            </w:r>
          </w:p>
        </w:tc>
        <w:tc>
          <w:tcPr>
            <w:tcW w:w="1000" w:type="dxa"/>
            <w:tcBorders>
              <w:top w:val="nil"/>
              <w:bottom w:val="single" w:sz="4" w:space="0" w:color="auto"/>
              <w:right w:val="single" w:sz="12" w:space="0" w:color="auto"/>
            </w:tcBorders>
            <w:shd w:val="clear" w:color="auto" w:fill="auto"/>
            <w:noWrap/>
            <w:vAlign w:val="center"/>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2,4</w:t>
            </w:r>
          </w:p>
        </w:tc>
      </w:tr>
      <w:tr w:rsidR="00F76DC4" w:rsidRPr="00071923" w:rsidTr="008042B1">
        <w:trPr>
          <w:trHeight w:val="300"/>
        </w:trPr>
        <w:tc>
          <w:tcPr>
            <w:tcW w:w="4219" w:type="dxa"/>
            <w:tcBorders>
              <w:top w:val="single" w:sz="4" w:space="0" w:color="auto"/>
              <w:left w:val="single" w:sz="12" w:space="0" w:color="auto"/>
              <w:bottom w:val="nil"/>
            </w:tcBorders>
            <w:shd w:val="clear" w:color="auto" w:fill="auto"/>
            <w:noWrap/>
            <w:vAlign w:val="center"/>
            <w:hideMark/>
          </w:tcPr>
          <w:p w:rsidR="00F76DC4" w:rsidRPr="00071923" w:rsidRDefault="00F76DC4" w:rsidP="008042B1">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Genel Devlet Dengesi</w:t>
            </w:r>
          </w:p>
        </w:tc>
        <w:tc>
          <w:tcPr>
            <w:tcW w:w="980" w:type="dxa"/>
            <w:tcBorders>
              <w:top w:val="single" w:sz="4" w:space="0" w:color="auto"/>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-0,7</w:t>
            </w:r>
          </w:p>
        </w:tc>
        <w:tc>
          <w:tcPr>
            <w:tcW w:w="987" w:type="dxa"/>
            <w:tcBorders>
              <w:top w:val="single" w:sz="4" w:space="0" w:color="auto"/>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-0,8</w:t>
            </w:r>
          </w:p>
        </w:tc>
        <w:tc>
          <w:tcPr>
            <w:tcW w:w="951" w:type="dxa"/>
            <w:tcBorders>
              <w:top w:val="single" w:sz="4" w:space="0" w:color="auto"/>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-0,5</w:t>
            </w:r>
          </w:p>
        </w:tc>
        <w:tc>
          <w:tcPr>
            <w:tcW w:w="992" w:type="dxa"/>
            <w:tcBorders>
              <w:top w:val="single" w:sz="4" w:space="0" w:color="auto"/>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-0,2</w:t>
            </w:r>
          </w:p>
        </w:tc>
        <w:tc>
          <w:tcPr>
            <w:tcW w:w="1000" w:type="dxa"/>
            <w:tcBorders>
              <w:top w:val="single" w:sz="4" w:space="0" w:color="auto"/>
              <w:bottom w:val="nil"/>
              <w:right w:val="single" w:sz="12" w:space="0" w:color="auto"/>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0,1</w:t>
            </w:r>
          </w:p>
        </w:tc>
      </w:tr>
      <w:tr w:rsidR="00F76DC4" w:rsidRPr="00071923" w:rsidTr="008042B1">
        <w:trPr>
          <w:trHeight w:val="300"/>
        </w:trPr>
        <w:tc>
          <w:tcPr>
            <w:tcW w:w="4219" w:type="dxa"/>
            <w:tcBorders>
              <w:top w:val="nil"/>
              <w:left w:val="single" w:sz="12" w:space="0" w:color="auto"/>
              <w:bottom w:val="nil"/>
            </w:tcBorders>
            <w:shd w:val="clear" w:color="auto" w:fill="auto"/>
            <w:noWrap/>
            <w:vAlign w:val="center"/>
            <w:hideMark/>
          </w:tcPr>
          <w:p w:rsidR="00F76DC4" w:rsidRPr="00071923" w:rsidRDefault="00F76DC4" w:rsidP="008042B1">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Faiz Giderleri Hariç Denge</w:t>
            </w:r>
          </w:p>
        </w:tc>
        <w:tc>
          <w:tcPr>
            <w:tcW w:w="980"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2,6</w:t>
            </w:r>
          </w:p>
        </w:tc>
        <w:tc>
          <w:tcPr>
            <w:tcW w:w="987"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2,2</w:t>
            </w:r>
          </w:p>
        </w:tc>
        <w:tc>
          <w:tcPr>
            <w:tcW w:w="951"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2,4</w:t>
            </w:r>
          </w:p>
        </w:tc>
        <w:tc>
          <w:tcPr>
            <w:tcW w:w="992"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2,4</w:t>
            </w:r>
          </w:p>
        </w:tc>
        <w:tc>
          <w:tcPr>
            <w:tcW w:w="1000" w:type="dxa"/>
            <w:tcBorders>
              <w:top w:val="nil"/>
              <w:bottom w:val="nil"/>
              <w:right w:val="single" w:sz="12" w:space="0" w:color="auto"/>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2,5</w:t>
            </w:r>
          </w:p>
        </w:tc>
      </w:tr>
      <w:tr w:rsidR="00F76DC4" w:rsidRPr="00071923" w:rsidTr="008042B1">
        <w:trPr>
          <w:trHeight w:val="300"/>
        </w:trPr>
        <w:tc>
          <w:tcPr>
            <w:tcW w:w="4219" w:type="dxa"/>
            <w:tcBorders>
              <w:top w:val="nil"/>
              <w:left w:val="single" w:sz="12" w:space="0" w:color="auto"/>
              <w:bottom w:val="nil"/>
            </w:tcBorders>
            <w:shd w:val="clear" w:color="auto" w:fill="auto"/>
            <w:noWrap/>
            <w:vAlign w:val="center"/>
            <w:hideMark/>
          </w:tcPr>
          <w:p w:rsidR="00F76DC4" w:rsidRPr="00071923" w:rsidRDefault="00F76DC4" w:rsidP="008042B1">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Özelleştirme Gelirleri Hariç Denge</w:t>
            </w:r>
          </w:p>
        </w:tc>
        <w:tc>
          <w:tcPr>
            <w:tcW w:w="980"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-1,6</w:t>
            </w:r>
          </w:p>
        </w:tc>
        <w:tc>
          <w:tcPr>
            <w:tcW w:w="987"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-1,4</w:t>
            </w:r>
          </w:p>
        </w:tc>
        <w:tc>
          <w:tcPr>
            <w:tcW w:w="951"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-1,1</w:t>
            </w:r>
          </w:p>
        </w:tc>
        <w:tc>
          <w:tcPr>
            <w:tcW w:w="992" w:type="dxa"/>
            <w:tcBorders>
              <w:top w:val="nil"/>
              <w:bottom w:val="nil"/>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-0,6</w:t>
            </w:r>
          </w:p>
        </w:tc>
        <w:tc>
          <w:tcPr>
            <w:tcW w:w="1000" w:type="dxa"/>
            <w:tcBorders>
              <w:top w:val="nil"/>
              <w:bottom w:val="nil"/>
              <w:right w:val="single" w:sz="12" w:space="0" w:color="auto"/>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-0,1</w:t>
            </w:r>
          </w:p>
        </w:tc>
      </w:tr>
      <w:tr w:rsidR="00F76DC4" w:rsidRPr="00071923" w:rsidTr="008042B1">
        <w:trPr>
          <w:trHeight w:val="300"/>
        </w:trPr>
        <w:tc>
          <w:tcPr>
            <w:tcW w:w="4219" w:type="dxa"/>
            <w:tcBorders>
              <w:top w:val="nil"/>
              <w:left w:val="single" w:sz="12" w:space="0" w:color="auto"/>
              <w:bottom w:val="single" w:sz="12" w:space="0" w:color="auto"/>
            </w:tcBorders>
            <w:shd w:val="clear" w:color="auto" w:fill="auto"/>
            <w:noWrap/>
            <w:vAlign w:val="center"/>
            <w:hideMark/>
          </w:tcPr>
          <w:p w:rsidR="00F76DC4" w:rsidRPr="00071923" w:rsidRDefault="00F76DC4" w:rsidP="008042B1">
            <w:pPr>
              <w:spacing w:after="0" w:line="240" w:lineRule="auto"/>
              <w:rPr>
                <w:rFonts w:ascii="Arial" w:eastAsia="Times New Roman" w:hAnsi="Arial" w:cs="Arial"/>
                <w:b/>
                <w:bCs/>
                <w:color w:val="000000"/>
                <w:sz w:val="18"/>
                <w:szCs w:val="18"/>
                <w:lang w:eastAsia="tr-TR"/>
              </w:rPr>
            </w:pPr>
            <w:r w:rsidRPr="00071923">
              <w:rPr>
                <w:rFonts w:ascii="Arial" w:eastAsia="Times New Roman" w:hAnsi="Arial" w:cs="Arial"/>
                <w:b/>
                <w:bCs/>
                <w:color w:val="000000"/>
                <w:sz w:val="18"/>
                <w:szCs w:val="18"/>
                <w:lang w:eastAsia="tr-TR"/>
              </w:rPr>
              <w:t xml:space="preserve">Faiz </w:t>
            </w:r>
            <w:proofErr w:type="spellStart"/>
            <w:r w:rsidRPr="00071923">
              <w:rPr>
                <w:rFonts w:ascii="Arial" w:eastAsia="Times New Roman" w:hAnsi="Arial" w:cs="Arial"/>
                <w:b/>
                <w:bCs/>
                <w:color w:val="000000"/>
                <w:sz w:val="18"/>
                <w:szCs w:val="18"/>
                <w:lang w:eastAsia="tr-TR"/>
              </w:rPr>
              <w:t>Gid</w:t>
            </w:r>
            <w:proofErr w:type="spellEnd"/>
            <w:r w:rsidRPr="00071923">
              <w:rPr>
                <w:rFonts w:ascii="Arial" w:eastAsia="Times New Roman" w:hAnsi="Arial" w:cs="Arial"/>
                <w:b/>
                <w:bCs/>
                <w:color w:val="000000"/>
                <w:sz w:val="18"/>
                <w:szCs w:val="18"/>
                <w:lang w:eastAsia="tr-TR"/>
              </w:rPr>
              <w:t xml:space="preserve">. </w:t>
            </w:r>
            <w:proofErr w:type="gramStart"/>
            <w:r w:rsidRPr="00071923">
              <w:rPr>
                <w:rFonts w:ascii="Arial" w:eastAsia="Times New Roman" w:hAnsi="Arial" w:cs="Arial"/>
                <w:b/>
                <w:bCs/>
                <w:color w:val="000000"/>
                <w:sz w:val="18"/>
                <w:szCs w:val="18"/>
                <w:lang w:eastAsia="tr-TR"/>
              </w:rPr>
              <w:t>ve</w:t>
            </w:r>
            <w:proofErr w:type="gramEnd"/>
            <w:r w:rsidRPr="00071923">
              <w:rPr>
                <w:rFonts w:ascii="Arial" w:eastAsia="Times New Roman" w:hAnsi="Arial" w:cs="Arial"/>
                <w:b/>
                <w:bCs/>
                <w:color w:val="000000"/>
                <w:sz w:val="18"/>
                <w:szCs w:val="18"/>
                <w:lang w:eastAsia="tr-TR"/>
              </w:rPr>
              <w:t xml:space="preserve"> Özelleştirme Gel. Hariç Denge</w:t>
            </w:r>
          </w:p>
        </w:tc>
        <w:tc>
          <w:tcPr>
            <w:tcW w:w="980" w:type="dxa"/>
            <w:tcBorders>
              <w:top w:val="nil"/>
              <w:bottom w:val="single" w:sz="12" w:space="0" w:color="auto"/>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1,7</w:t>
            </w:r>
          </w:p>
        </w:tc>
        <w:tc>
          <w:tcPr>
            <w:tcW w:w="987" w:type="dxa"/>
            <w:tcBorders>
              <w:top w:val="nil"/>
              <w:bottom w:val="single" w:sz="12" w:space="0" w:color="auto"/>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1,6</w:t>
            </w:r>
          </w:p>
        </w:tc>
        <w:tc>
          <w:tcPr>
            <w:tcW w:w="951" w:type="dxa"/>
            <w:tcBorders>
              <w:top w:val="nil"/>
              <w:bottom w:val="single" w:sz="12" w:space="0" w:color="auto"/>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1,8</w:t>
            </w:r>
          </w:p>
        </w:tc>
        <w:tc>
          <w:tcPr>
            <w:tcW w:w="992" w:type="dxa"/>
            <w:tcBorders>
              <w:top w:val="nil"/>
              <w:bottom w:val="single" w:sz="12" w:space="0" w:color="auto"/>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2,0</w:t>
            </w:r>
          </w:p>
        </w:tc>
        <w:tc>
          <w:tcPr>
            <w:tcW w:w="1000" w:type="dxa"/>
            <w:tcBorders>
              <w:top w:val="nil"/>
              <w:bottom w:val="single" w:sz="12" w:space="0" w:color="auto"/>
              <w:right w:val="single" w:sz="12" w:space="0" w:color="auto"/>
            </w:tcBorders>
            <w:shd w:val="clear" w:color="auto" w:fill="auto"/>
            <w:noWrap/>
            <w:vAlign w:val="center"/>
            <w:hideMark/>
          </w:tcPr>
          <w:p w:rsidR="00F76DC4" w:rsidRPr="003B0944" w:rsidRDefault="00F76DC4" w:rsidP="008042B1">
            <w:pPr>
              <w:spacing w:after="0" w:line="240" w:lineRule="auto"/>
              <w:jc w:val="right"/>
              <w:rPr>
                <w:rFonts w:ascii="Arial" w:eastAsia="Times New Roman" w:hAnsi="Arial" w:cs="Arial"/>
                <w:b/>
                <w:bCs/>
                <w:color w:val="000000"/>
                <w:sz w:val="18"/>
                <w:szCs w:val="18"/>
                <w:lang w:eastAsia="tr-TR"/>
              </w:rPr>
            </w:pPr>
            <w:r w:rsidRPr="003B0944">
              <w:rPr>
                <w:rFonts w:ascii="Arial" w:eastAsia="Times New Roman" w:hAnsi="Arial" w:cs="Arial"/>
                <w:b/>
                <w:bCs/>
                <w:color w:val="000000"/>
                <w:sz w:val="18"/>
                <w:szCs w:val="18"/>
                <w:lang w:eastAsia="tr-TR"/>
              </w:rPr>
              <w:t>2,3</w:t>
            </w:r>
          </w:p>
        </w:tc>
      </w:tr>
    </w:tbl>
    <w:p w:rsidR="00F76DC4" w:rsidRPr="00071923" w:rsidRDefault="00F76DC4" w:rsidP="00F76DC4">
      <w:pPr>
        <w:pStyle w:val="Default"/>
        <w:ind w:left="57"/>
        <w:rPr>
          <w:rFonts w:ascii="Arial" w:hAnsi="Arial" w:cs="Arial"/>
          <w:color w:val="auto"/>
          <w:sz w:val="16"/>
          <w:szCs w:val="18"/>
        </w:rPr>
      </w:pPr>
      <w:r w:rsidRPr="00071923">
        <w:rPr>
          <w:rFonts w:ascii="Arial" w:hAnsi="Arial" w:cs="Arial"/>
          <w:color w:val="auto"/>
          <w:sz w:val="16"/>
          <w:szCs w:val="18"/>
        </w:rPr>
        <w:t>(1) Genel devlet; merkezi yönetim bütçesi kapsamındaki kurum ve kuruluşlar, mahalli idareler, sosyal güvenlik kuruluşları</w:t>
      </w:r>
      <w:r>
        <w:rPr>
          <w:rFonts w:ascii="Arial" w:hAnsi="Arial" w:cs="Arial"/>
          <w:color w:val="auto"/>
          <w:sz w:val="16"/>
          <w:szCs w:val="18"/>
        </w:rPr>
        <w:t>, genel sağlık sigortası</w:t>
      </w:r>
      <w:r w:rsidRPr="00071923">
        <w:rPr>
          <w:rFonts w:ascii="Arial" w:hAnsi="Arial" w:cs="Arial"/>
          <w:color w:val="auto"/>
          <w:sz w:val="16"/>
          <w:szCs w:val="18"/>
        </w:rPr>
        <w:t>, fonlar, döner sermayeler ve İşsizlik Sigortası Fonundan oluşmaktadır.</w:t>
      </w:r>
    </w:p>
    <w:p w:rsidR="00F76DC4" w:rsidRPr="00471C4A" w:rsidRDefault="00F76DC4" w:rsidP="00F76DC4">
      <w:pPr>
        <w:spacing w:after="0" w:line="240" w:lineRule="auto"/>
        <w:ind w:left="57"/>
        <w:rPr>
          <w:rFonts w:ascii="Arial" w:hAnsi="Arial" w:cs="Arial"/>
          <w:sz w:val="16"/>
          <w:szCs w:val="18"/>
        </w:rPr>
      </w:pPr>
      <w:r w:rsidRPr="00471C4A">
        <w:rPr>
          <w:rFonts w:ascii="Arial" w:hAnsi="Arial" w:cs="Arial"/>
          <w:sz w:val="16"/>
          <w:szCs w:val="18"/>
        </w:rPr>
        <w:t>GT: Gerçekleşme tahmini</w:t>
      </w:r>
    </w:p>
    <w:p w:rsidR="00F76DC4" w:rsidRPr="00471C4A" w:rsidRDefault="00F76DC4" w:rsidP="00F76DC4">
      <w:pPr>
        <w:spacing w:after="0" w:line="240" w:lineRule="auto"/>
        <w:ind w:left="57"/>
        <w:rPr>
          <w:rFonts w:ascii="Arial" w:hAnsi="Arial" w:cs="Arial"/>
          <w:sz w:val="16"/>
          <w:szCs w:val="18"/>
        </w:rPr>
      </w:pPr>
      <w:r w:rsidRPr="00471C4A">
        <w:rPr>
          <w:rFonts w:ascii="Arial" w:hAnsi="Arial" w:cs="Arial"/>
          <w:sz w:val="16"/>
          <w:szCs w:val="18"/>
        </w:rPr>
        <w:t>P: Program</w:t>
      </w:r>
    </w:p>
    <w:p w:rsidR="00F76DC4" w:rsidRDefault="00F76DC4" w:rsidP="00F76DC4">
      <w:pPr>
        <w:tabs>
          <w:tab w:val="left" w:pos="567"/>
        </w:tabs>
        <w:spacing w:after="120" w:line="240" w:lineRule="auto"/>
        <w:rPr>
          <w:rFonts w:ascii="Arial" w:hAnsi="Arial" w:cs="Arial"/>
          <w:sz w:val="24"/>
          <w:szCs w:val="24"/>
        </w:rPr>
      </w:pPr>
    </w:p>
    <w:p w:rsidR="00F76DC4" w:rsidRDefault="00F76DC4" w:rsidP="00F76DC4">
      <w:pPr>
        <w:tabs>
          <w:tab w:val="left" w:pos="567"/>
        </w:tabs>
        <w:spacing w:after="120" w:line="240" w:lineRule="auto"/>
        <w:rPr>
          <w:rFonts w:ascii="Arial" w:hAnsi="Arial" w:cs="Arial"/>
          <w:sz w:val="24"/>
          <w:szCs w:val="24"/>
        </w:rPr>
      </w:pPr>
    </w:p>
    <w:p w:rsidR="00F76DC4" w:rsidRDefault="00F76DC4" w:rsidP="00F76DC4">
      <w:pPr>
        <w:tabs>
          <w:tab w:val="left" w:pos="567"/>
        </w:tabs>
        <w:spacing w:after="120" w:line="240" w:lineRule="auto"/>
        <w:rPr>
          <w:rFonts w:ascii="Arial" w:hAnsi="Arial" w:cs="Arial"/>
          <w:sz w:val="24"/>
          <w:szCs w:val="24"/>
        </w:rPr>
      </w:pPr>
    </w:p>
    <w:p w:rsidR="00F76DC4" w:rsidRDefault="00F76DC4" w:rsidP="00F76DC4">
      <w:pPr>
        <w:tabs>
          <w:tab w:val="left" w:pos="567"/>
        </w:tabs>
        <w:spacing w:after="120" w:line="240" w:lineRule="auto"/>
        <w:rPr>
          <w:rFonts w:ascii="Arial" w:hAnsi="Arial" w:cs="Arial"/>
          <w:sz w:val="24"/>
          <w:szCs w:val="24"/>
        </w:rPr>
      </w:pPr>
    </w:p>
    <w:tbl>
      <w:tblPr>
        <w:tblW w:w="9147" w:type="dxa"/>
        <w:tblInd w:w="65" w:type="dxa"/>
        <w:tblCellMar>
          <w:left w:w="70" w:type="dxa"/>
          <w:right w:w="70" w:type="dxa"/>
        </w:tblCellMar>
        <w:tblLook w:val="04A0" w:firstRow="1" w:lastRow="0" w:firstColumn="1" w:lastColumn="0" w:noHBand="0" w:noVBand="1"/>
      </w:tblPr>
      <w:tblGrid>
        <w:gridCol w:w="4037"/>
        <w:gridCol w:w="979"/>
        <w:gridCol w:w="1085"/>
        <w:gridCol w:w="992"/>
        <w:gridCol w:w="992"/>
        <w:gridCol w:w="1062"/>
      </w:tblGrid>
      <w:tr w:rsidR="00F76DC4" w:rsidRPr="00071923" w:rsidTr="008042B1">
        <w:trPr>
          <w:trHeight w:val="300"/>
        </w:trPr>
        <w:tc>
          <w:tcPr>
            <w:tcW w:w="9147" w:type="dxa"/>
            <w:gridSpan w:val="6"/>
            <w:tcBorders>
              <w:bottom w:val="single" w:sz="12" w:space="0" w:color="auto"/>
            </w:tcBorders>
            <w:shd w:val="clear" w:color="000000" w:fill="FFFFFF"/>
            <w:noWrap/>
            <w:vAlign w:val="center"/>
          </w:tcPr>
          <w:p w:rsidR="00F76DC4" w:rsidRPr="00071923" w:rsidRDefault="00F76DC4" w:rsidP="008042B1">
            <w:pPr>
              <w:spacing w:after="0" w:line="240" w:lineRule="auto"/>
              <w:rPr>
                <w:rFonts w:ascii="Arial" w:eastAsia="Times New Roman" w:hAnsi="Arial" w:cs="Arial"/>
                <w:b/>
                <w:bCs/>
                <w:sz w:val="16"/>
                <w:szCs w:val="16"/>
                <w:lang w:eastAsia="tr-TR"/>
              </w:rPr>
            </w:pPr>
            <w:r w:rsidRPr="00071923">
              <w:rPr>
                <w:rFonts w:ascii="Arial" w:hAnsi="Arial" w:cs="Arial"/>
                <w:b/>
              </w:rPr>
              <w:lastRenderedPageBreak/>
              <w:t>Ek Tablo 6: Merkezi Yönetim Bütçesi</w:t>
            </w:r>
          </w:p>
        </w:tc>
      </w:tr>
      <w:tr w:rsidR="00F76DC4" w:rsidRPr="00071923" w:rsidTr="008042B1">
        <w:trPr>
          <w:trHeight w:val="300"/>
        </w:trPr>
        <w:tc>
          <w:tcPr>
            <w:tcW w:w="4037" w:type="dxa"/>
            <w:tcBorders>
              <w:top w:val="nil"/>
              <w:left w:val="single" w:sz="12" w:space="0" w:color="auto"/>
              <w:bottom w:val="single" w:sz="12" w:space="0" w:color="auto"/>
              <w:right w:val="single" w:sz="4" w:space="0" w:color="auto"/>
            </w:tcBorders>
            <w:shd w:val="clear" w:color="000000" w:fill="FFFFFF"/>
            <w:noWrap/>
            <w:vAlign w:val="bottom"/>
            <w:hideMark/>
          </w:tcPr>
          <w:p w:rsidR="00F76DC4" w:rsidRPr="00071923" w:rsidRDefault="00F76DC4" w:rsidP="008042B1">
            <w:pPr>
              <w:spacing w:after="0" w:line="240" w:lineRule="auto"/>
              <w:rPr>
                <w:rFonts w:ascii="Arial" w:eastAsia="Times New Roman" w:hAnsi="Arial" w:cs="Arial"/>
                <w:sz w:val="18"/>
                <w:szCs w:val="18"/>
                <w:lang w:eastAsia="tr-TR"/>
              </w:rPr>
            </w:pPr>
            <w:r w:rsidRPr="00071923">
              <w:rPr>
                <w:rFonts w:ascii="Arial" w:eastAsia="Times New Roman" w:hAnsi="Arial" w:cs="Arial"/>
                <w:sz w:val="18"/>
                <w:szCs w:val="18"/>
                <w:lang w:eastAsia="tr-TR"/>
              </w:rPr>
              <w:t> </w:t>
            </w:r>
          </w:p>
        </w:tc>
        <w:tc>
          <w:tcPr>
            <w:tcW w:w="979" w:type="dxa"/>
            <w:tcBorders>
              <w:top w:val="nil"/>
              <w:left w:val="nil"/>
              <w:bottom w:val="single" w:sz="12" w:space="0" w:color="auto"/>
              <w:right w:val="single" w:sz="4" w:space="0" w:color="auto"/>
            </w:tcBorders>
            <w:shd w:val="clear" w:color="000000" w:fill="FFFFFF"/>
            <w:noWrap/>
            <w:vAlign w:val="center"/>
            <w:hideMark/>
          </w:tcPr>
          <w:p w:rsidR="00F76DC4" w:rsidRPr="00071923" w:rsidRDefault="00F76DC4" w:rsidP="008042B1">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2013</w:t>
            </w:r>
          </w:p>
        </w:tc>
        <w:tc>
          <w:tcPr>
            <w:tcW w:w="1085" w:type="dxa"/>
            <w:tcBorders>
              <w:top w:val="nil"/>
              <w:left w:val="nil"/>
              <w:bottom w:val="single" w:sz="12" w:space="0" w:color="auto"/>
              <w:right w:val="single" w:sz="4" w:space="0" w:color="auto"/>
            </w:tcBorders>
            <w:shd w:val="clear" w:color="000000" w:fill="FFFFFF"/>
            <w:noWrap/>
            <w:vAlign w:val="center"/>
            <w:hideMark/>
          </w:tcPr>
          <w:p w:rsidR="00F76DC4" w:rsidRPr="00071923" w:rsidRDefault="00F76DC4" w:rsidP="008042B1">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w:t>
            </w:r>
            <w:r>
              <w:rPr>
                <w:rFonts w:ascii="Arial" w:eastAsia="Times New Roman" w:hAnsi="Arial" w:cs="Arial"/>
                <w:b/>
                <w:bCs/>
                <w:sz w:val="18"/>
                <w:szCs w:val="18"/>
                <w:lang w:eastAsia="tr-TR"/>
              </w:rPr>
              <w:t>4</w:t>
            </w:r>
            <w:r w:rsidRPr="00071923">
              <w:rPr>
                <w:rFonts w:ascii="Arial" w:eastAsia="Times New Roman" w:hAnsi="Arial" w:cs="Arial"/>
                <w:b/>
                <w:bCs/>
                <w:sz w:val="18"/>
                <w:szCs w:val="18"/>
                <w:lang w:eastAsia="tr-TR"/>
              </w:rPr>
              <w:t xml:space="preserve"> </w:t>
            </w:r>
            <w:r>
              <w:rPr>
                <w:rFonts w:ascii="Arial" w:eastAsia="Times New Roman" w:hAnsi="Arial" w:cs="Arial"/>
                <w:b/>
                <w:bCs/>
                <w:sz w:val="18"/>
                <w:szCs w:val="18"/>
                <w:lang w:eastAsia="tr-TR"/>
              </w:rPr>
              <w:t>(</w:t>
            </w:r>
            <w:r w:rsidRPr="00071923">
              <w:rPr>
                <w:rFonts w:ascii="Arial" w:eastAsia="Times New Roman" w:hAnsi="Arial" w:cs="Arial"/>
                <w:b/>
                <w:bCs/>
                <w:sz w:val="18"/>
                <w:szCs w:val="18"/>
                <w:lang w:eastAsia="tr-TR"/>
              </w:rPr>
              <w:t>GT</w:t>
            </w:r>
            <w:r>
              <w:rPr>
                <w:rFonts w:ascii="Arial" w:eastAsia="Times New Roman" w:hAnsi="Arial" w:cs="Arial"/>
                <w:b/>
                <w:bCs/>
                <w:sz w:val="18"/>
                <w:szCs w:val="18"/>
                <w:lang w:eastAsia="tr-TR"/>
              </w:rPr>
              <w:t>)</w:t>
            </w:r>
          </w:p>
        </w:tc>
        <w:tc>
          <w:tcPr>
            <w:tcW w:w="992" w:type="dxa"/>
            <w:tcBorders>
              <w:top w:val="nil"/>
              <w:left w:val="nil"/>
              <w:bottom w:val="single" w:sz="12" w:space="0" w:color="auto"/>
              <w:right w:val="single" w:sz="4" w:space="0" w:color="auto"/>
            </w:tcBorders>
            <w:shd w:val="clear" w:color="000000" w:fill="FFFFFF"/>
            <w:noWrap/>
            <w:vAlign w:val="center"/>
            <w:hideMark/>
          </w:tcPr>
          <w:p w:rsidR="00F76DC4" w:rsidRPr="00071923" w:rsidRDefault="00F76DC4" w:rsidP="008042B1">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w:t>
            </w:r>
            <w:r>
              <w:rPr>
                <w:rFonts w:ascii="Arial" w:eastAsia="Times New Roman" w:hAnsi="Arial" w:cs="Arial"/>
                <w:b/>
                <w:bCs/>
                <w:sz w:val="18"/>
                <w:szCs w:val="18"/>
                <w:lang w:eastAsia="tr-TR"/>
              </w:rPr>
              <w:t>5 (P)</w:t>
            </w:r>
          </w:p>
        </w:tc>
        <w:tc>
          <w:tcPr>
            <w:tcW w:w="992" w:type="dxa"/>
            <w:tcBorders>
              <w:top w:val="nil"/>
              <w:left w:val="nil"/>
              <w:bottom w:val="single" w:sz="12" w:space="0" w:color="auto"/>
              <w:right w:val="single" w:sz="4" w:space="0" w:color="auto"/>
            </w:tcBorders>
            <w:shd w:val="clear" w:color="000000" w:fill="FFFFFF"/>
            <w:noWrap/>
            <w:vAlign w:val="center"/>
            <w:hideMark/>
          </w:tcPr>
          <w:p w:rsidR="00F76DC4" w:rsidRPr="00071923" w:rsidRDefault="00F76DC4" w:rsidP="008042B1">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w:t>
            </w:r>
            <w:r>
              <w:rPr>
                <w:rFonts w:ascii="Arial" w:eastAsia="Times New Roman" w:hAnsi="Arial" w:cs="Arial"/>
                <w:b/>
                <w:bCs/>
                <w:sz w:val="18"/>
                <w:szCs w:val="18"/>
                <w:lang w:eastAsia="tr-TR"/>
              </w:rPr>
              <w:t>6 (P)</w:t>
            </w:r>
          </w:p>
        </w:tc>
        <w:tc>
          <w:tcPr>
            <w:tcW w:w="1062" w:type="dxa"/>
            <w:tcBorders>
              <w:top w:val="nil"/>
              <w:left w:val="nil"/>
              <w:bottom w:val="single" w:sz="12" w:space="0" w:color="auto"/>
              <w:right w:val="single" w:sz="12" w:space="0" w:color="auto"/>
            </w:tcBorders>
            <w:shd w:val="clear" w:color="000000" w:fill="FFFFFF"/>
            <w:noWrap/>
            <w:vAlign w:val="center"/>
            <w:hideMark/>
          </w:tcPr>
          <w:p w:rsidR="00F76DC4" w:rsidRPr="00071923" w:rsidRDefault="00F76DC4" w:rsidP="008042B1">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201</w:t>
            </w:r>
            <w:r>
              <w:rPr>
                <w:rFonts w:ascii="Arial" w:eastAsia="Times New Roman" w:hAnsi="Arial" w:cs="Arial"/>
                <w:b/>
                <w:bCs/>
                <w:sz w:val="18"/>
                <w:szCs w:val="18"/>
                <w:lang w:eastAsia="tr-TR"/>
              </w:rPr>
              <w:t>7 (P)</w:t>
            </w:r>
          </w:p>
        </w:tc>
      </w:tr>
      <w:tr w:rsidR="00F76DC4" w:rsidRPr="00071923" w:rsidTr="008042B1">
        <w:trPr>
          <w:trHeight w:val="300"/>
        </w:trPr>
        <w:tc>
          <w:tcPr>
            <w:tcW w:w="4037" w:type="dxa"/>
            <w:tcBorders>
              <w:top w:val="single" w:sz="12" w:space="0" w:color="auto"/>
              <w:left w:val="single" w:sz="12" w:space="0" w:color="auto"/>
              <w:bottom w:val="nil"/>
              <w:right w:val="single" w:sz="4" w:space="0" w:color="auto"/>
            </w:tcBorders>
            <w:shd w:val="clear" w:color="000000" w:fill="FFFFFF"/>
            <w:noWrap/>
            <w:vAlign w:val="bottom"/>
          </w:tcPr>
          <w:p w:rsidR="00F76DC4" w:rsidRPr="00071923" w:rsidRDefault="00F76DC4" w:rsidP="008042B1">
            <w:pPr>
              <w:spacing w:after="0" w:line="240" w:lineRule="auto"/>
              <w:rPr>
                <w:rFonts w:ascii="Arial" w:eastAsia="Times New Roman" w:hAnsi="Arial" w:cs="Arial"/>
                <w:b/>
                <w:bCs/>
                <w:sz w:val="18"/>
                <w:szCs w:val="18"/>
                <w:lang w:eastAsia="tr-TR"/>
              </w:rPr>
            </w:pPr>
          </w:p>
        </w:tc>
        <w:tc>
          <w:tcPr>
            <w:tcW w:w="5110" w:type="dxa"/>
            <w:gridSpan w:val="5"/>
            <w:tcBorders>
              <w:top w:val="single" w:sz="12" w:space="0" w:color="auto"/>
              <w:left w:val="nil"/>
              <w:bottom w:val="single" w:sz="4" w:space="0" w:color="auto"/>
              <w:right w:val="single" w:sz="12" w:space="0" w:color="auto"/>
            </w:tcBorders>
            <w:shd w:val="clear" w:color="000000" w:fill="FFFFFF"/>
            <w:noWrap/>
            <w:vAlign w:val="center"/>
          </w:tcPr>
          <w:p w:rsidR="00F76DC4" w:rsidRPr="00071923" w:rsidRDefault="00F76DC4" w:rsidP="008042B1">
            <w:pPr>
              <w:spacing w:after="0" w:line="240" w:lineRule="auto"/>
              <w:jc w:val="center"/>
              <w:rPr>
                <w:rFonts w:ascii="Arial" w:eastAsia="Times New Roman" w:hAnsi="Arial" w:cs="Arial"/>
                <w:b/>
                <w:bCs/>
                <w:sz w:val="18"/>
                <w:szCs w:val="18"/>
                <w:lang w:eastAsia="tr-TR"/>
              </w:rPr>
            </w:pPr>
            <w:r w:rsidRPr="00071923">
              <w:rPr>
                <w:rFonts w:ascii="Arial" w:eastAsia="Times New Roman" w:hAnsi="Arial" w:cs="Arial"/>
                <w:bCs/>
                <w:sz w:val="18"/>
                <w:szCs w:val="18"/>
                <w:lang w:eastAsia="tr-TR"/>
              </w:rPr>
              <w:t>(Milyar TL)</w:t>
            </w:r>
          </w:p>
        </w:tc>
      </w:tr>
      <w:tr w:rsidR="00F76DC4" w:rsidRPr="00071923" w:rsidTr="008042B1">
        <w:trPr>
          <w:trHeight w:val="300"/>
        </w:trPr>
        <w:tc>
          <w:tcPr>
            <w:tcW w:w="4037" w:type="dxa"/>
            <w:tcBorders>
              <w:top w:val="single" w:sz="4" w:space="0" w:color="auto"/>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Harcamalar</w:t>
            </w:r>
          </w:p>
        </w:tc>
        <w:tc>
          <w:tcPr>
            <w:tcW w:w="979" w:type="dxa"/>
            <w:tcBorders>
              <w:top w:val="single" w:sz="4" w:space="0" w:color="auto"/>
              <w:left w:val="nil"/>
              <w:bottom w:val="nil"/>
              <w:right w:val="nil"/>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408,2</w:t>
            </w:r>
          </w:p>
        </w:tc>
        <w:tc>
          <w:tcPr>
            <w:tcW w:w="1085" w:type="dxa"/>
            <w:tcBorders>
              <w:top w:val="single" w:sz="4" w:space="0" w:color="auto"/>
              <w:left w:val="single" w:sz="4" w:space="0" w:color="auto"/>
              <w:bottom w:val="nil"/>
              <w:right w:val="nil"/>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448,4</w:t>
            </w:r>
          </w:p>
        </w:tc>
        <w:tc>
          <w:tcPr>
            <w:tcW w:w="992" w:type="dxa"/>
            <w:tcBorders>
              <w:top w:val="single" w:sz="4" w:space="0" w:color="auto"/>
              <w:left w:val="single" w:sz="4" w:space="0" w:color="auto"/>
              <w:bottom w:val="nil"/>
              <w:right w:val="single" w:sz="4"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472,9</w:t>
            </w:r>
          </w:p>
        </w:tc>
        <w:tc>
          <w:tcPr>
            <w:tcW w:w="992" w:type="dxa"/>
            <w:tcBorders>
              <w:top w:val="single" w:sz="4" w:space="0" w:color="auto"/>
              <w:left w:val="nil"/>
              <w:bottom w:val="nil"/>
              <w:right w:val="single" w:sz="4"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506,8</w:t>
            </w:r>
          </w:p>
        </w:tc>
        <w:tc>
          <w:tcPr>
            <w:tcW w:w="1062" w:type="dxa"/>
            <w:tcBorders>
              <w:top w:val="single" w:sz="4" w:space="0" w:color="auto"/>
              <w:left w:val="nil"/>
              <w:bottom w:val="nil"/>
              <w:right w:val="single" w:sz="12"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541,3</w:t>
            </w:r>
          </w:p>
        </w:tc>
      </w:tr>
      <w:tr w:rsidR="00F76DC4" w:rsidRPr="00071923" w:rsidTr="008042B1">
        <w:trPr>
          <w:trHeight w:val="300"/>
        </w:trPr>
        <w:tc>
          <w:tcPr>
            <w:tcW w:w="4037"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100" w:firstLine="180"/>
              <w:rPr>
                <w:rFonts w:ascii="Arial" w:eastAsia="Times New Roman" w:hAnsi="Arial" w:cs="Arial"/>
                <w:sz w:val="18"/>
                <w:szCs w:val="18"/>
                <w:lang w:eastAsia="tr-TR"/>
              </w:rPr>
            </w:pPr>
            <w:r w:rsidRPr="00071923">
              <w:rPr>
                <w:rFonts w:ascii="Arial" w:eastAsia="Times New Roman" w:hAnsi="Arial" w:cs="Arial"/>
                <w:sz w:val="18"/>
                <w:szCs w:val="18"/>
                <w:lang w:eastAsia="tr-TR"/>
              </w:rPr>
              <w:t>Faiz Hariç Harcamalar</w:t>
            </w:r>
          </w:p>
        </w:tc>
        <w:tc>
          <w:tcPr>
            <w:tcW w:w="979" w:type="dxa"/>
            <w:tcBorders>
              <w:top w:val="nil"/>
              <w:left w:val="nil"/>
              <w:bottom w:val="nil"/>
              <w:right w:val="nil"/>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358,2</w:t>
            </w:r>
          </w:p>
        </w:tc>
        <w:tc>
          <w:tcPr>
            <w:tcW w:w="1085" w:type="dxa"/>
            <w:tcBorders>
              <w:top w:val="nil"/>
              <w:left w:val="single" w:sz="4" w:space="0" w:color="auto"/>
              <w:bottom w:val="nil"/>
              <w:right w:val="nil"/>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398,2</w:t>
            </w:r>
          </w:p>
        </w:tc>
        <w:tc>
          <w:tcPr>
            <w:tcW w:w="992" w:type="dxa"/>
            <w:tcBorders>
              <w:top w:val="nil"/>
              <w:left w:val="single" w:sz="4" w:space="0" w:color="auto"/>
              <w:bottom w:val="nil"/>
              <w:right w:val="single" w:sz="4"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418,9</w:t>
            </w:r>
          </w:p>
        </w:tc>
        <w:tc>
          <w:tcPr>
            <w:tcW w:w="992" w:type="dxa"/>
            <w:tcBorders>
              <w:top w:val="nil"/>
              <w:left w:val="nil"/>
              <w:bottom w:val="nil"/>
              <w:right w:val="single" w:sz="4"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452,8</w:t>
            </w:r>
          </w:p>
        </w:tc>
        <w:tc>
          <w:tcPr>
            <w:tcW w:w="1062" w:type="dxa"/>
            <w:tcBorders>
              <w:top w:val="nil"/>
              <w:left w:val="nil"/>
              <w:bottom w:val="nil"/>
              <w:right w:val="single" w:sz="12"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486,3</w:t>
            </w:r>
          </w:p>
        </w:tc>
      </w:tr>
      <w:tr w:rsidR="00F76DC4" w:rsidRPr="00071923" w:rsidTr="008042B1">
        <w:trPr>
          <w:trHeight w:val="300"/>
        </w:trPr>
        <w:tc>
          <w:tcPr>
            <w:tcW w:w="4037" w:type="dxa"/>
            <w:tcBorders>
              <w:top w:val="nil"/>
              <w:left w:val="single" w:sz="12" w:space="0" w:color="auto"/>
              <w:bottom w:val="single" w:sz="4" w:space="0" w:color="auto"/>
              <w:right w:val="single" w:sz="4" w:space="0" w:color="auto"/>
            </w:tcBorders>
            <w:shd w:val="clear" w:color="000000" w:fill="FFFFFF"/>
            <w:noWrap/>
            <w:vAlign w:val="center"/>
            <w:hideMark/>
          </w:tcPr>
          <w:p w:rsidR="00F76DC4" w:rsidRPr="00071923" w:rsidRDefault="00F76DC4" w:rsidP="008042B1">
            <w:pPr>
              <w:spacing w:after="0" w:line="240" w:lineRule="auto"/>
              <w:ind w:firstLineChars="100" w:firstLine="180"/>
              <w:rPr>
                <w:rFonts w:ascii="Arial" w:eastAsia="Times New Roman" w:hAnsi="Arial" w:cs="Arial"/>
                <w:sz w:val="18"/>
                <w:szCs w:val="18"/>
                <w:lang w:eastAsia="tr-TR"/>
              </w:rPr>
            </w:pPr>
            <w:r w:rsidRPr="00071923">
              <w:rPr>
                <w:rFonts w:ascii="Arial" w:eastAsia="Times New Roman" w:hAnsi="Arial" w:cs="Arial"/>
                <w:sz w:val="18"/>
                <w:szCs w:val="18"/>
                <w:lang w:eastAsia="tr-TR"/>
              </w:rPr>
              <w:t>Faiz Giderleri</w:t>
            </w:r>
          </w:p>
        </w:tc>
        <w:tc>
          <w:tcPr>
            <w:tcW w:w="979" w:type="dxa"/>
            <w:tcBorders>
              <w:top w:val="nil"/>
              <w:left w:val="nil"/>
              <w:bottom w:val="nil"/>
              <w:right w:val="nil"/>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50,0</w:t>
            </w:r>
          </w:p>
        </w:tc>
        <w:tc>
          <w:tcPr>
            <w:tcW w:w="1085" w:type="dxa"/>
            <w:tcBorders>
              <w:top w:val="nil"/>
              <w:left w:val="single" w:sz="4" w:space="0" w:color="auto"/>
              <w:bottom w:val="nil"/>
              <w:right w:val="nil"/>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50,2</w:t>
            </w:r>
          </w:p>
        </w:tc>
        <w:tc>
          <w:tcPr>
            <w:tcW w:w="992" w:type="dxa"/>
            <w:tcBorders>
              <w:top w:val="nil"/>
              <w:left w:val="single" w:sz="4" w:space="0" w:color="auto"/>
              <w:bottom w:val="nil"/>
              <w:right w:val="single" w:sz="4"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54,0</w:t>
            </w:r>
          </w:p>
        </w:tc>
        <w:tc>
          <w:tcPr>
            <w:tcW w:w="992" w:type="dxa"/>
            <w:tcBorders>
              <w:top w:val="nil"/>
              <w:left w:val="nil"/>
              <w:bottom w:val="nil"/>
              <w:right w:val="single" w:sz="4"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54,0</w:t>
            </w:r>
          </w:p>
        </w:tc>
        <w:tc>
          <w:tcPr>
            <w:tcW w:w="1062" w:type="dxa"/>
            <w:tcBorders>
              <w:top w:val="nil"/>
              <w:left w:val="nil"/>
              <w:bottom w:val="nil"/>
              <w:right w:val="single" w:sz="12"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55,0</w:t>
            </w:r>
          </w:p>
        </w:tc>
      </w:tr>
      <w:tr w:rsidR="00F76DC4" w:rsidRPr="00071923" w:rsidTr="008042B1">
        <w:trPr>
          <w:trHeight w:val="300"/>
        </w:trPr>
        <w:tc>
          <w:tcPr>
            <w:tcW w:w="4037"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Gelirler</w:t>
            </w:r>
          </w:p>
        </w:tc>
        <w:tc>
          <w:tcPr>
            <w:tcW w:w="979" w:type="dxa"/>
            <w:tcBorders>
              <w:top w:val="single" w:sz="4" w:space="0" w:color="auto"/>
              <w:left w:val="nil"/>
              <w:bottom w:val="nil"/>
              <w:right w:val="nil"/>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389,7</w:t>
            </w:r>
          </w:p>
        </w:tc>
        <w:tc>
          <w:tcPr>
            <w:tcW w:w="1085" w:type="dxa"/>
            <w:tcBorders>
              <w:top w:val="single" w:sz="4" w:space="0" w:color="auto"/>
              <w:left w:val="single" w:sz="4" w:space="0" w:color="auto"/>
              <w:bottom w:val="nil"/>
              <w:right w:val="nil"/>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424,0</w:t>
            </w:r>
          </w:p>
        </w:tc>
        <w:tc>
          <w:tcPr>
            <w:tcW w:w="992" w:type="dxa"/>
            <w:tcBorders>
              <w:top w:val="single" w:sz="4" w:space="0" w:color="auto"/>
              <w:left w:val="single" w:sz="4" w:space="0" w:color="auto"/>
              <w:bottom w:val="nil"/>
              <w:right w:val="single" w:sz="4"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452,0</w:t>
            </w:r>
          </w:p>
        </w:tc>
        <w:tc>
          <w:tcPr>
            <w:tcW w:w="992" w:type="dxa"/>
            <w:tcBorders>
              <w:top w:val="single" w:sz="4" w:space="0" w:color="auto"/>
              <w:left w:val="nil"/>
              <w:bottom w:val="nil"/>
              <w:right w:val="single" w:sz="4"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491,0</w:t>
            </w:r>
          </w:p>
        </w:tc>
        <w:tc>
          <w:tcPr>
            <w:tcW w:w="1062" w:type="dxa"/>
            <w:tcBorders>
              <w:top w:val="single" w:sz="4" w:space="0" w:color="auto"/>
              <w:left w:val="nil"/>
              <w:bottom w:val="nil"/>
              <w:right w:val="single" w:sz="12"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534,2</w:t>
            </w:r>
          </w:p>
        </w:tc>
      </w:tr>
      <w:tr w:rsidR="00F76DC4" w:rsidRPr="00071923" w:rsidTr="008042B1">
        <w:trPr>
          <w:trHeight w:val="300"/>
        </w:trPr>
        <w:tc>
          <w:tcPr>
            <w:tcW w:w="4037"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100" w:firstLine="180"/>
              <w:rPr>
                <w:rFonts w:ascii="Arial" w:eastAsia="Times New Roman" w:hAnsi="Arial" w:cs="Arial"/>
                <w:sz w:val="18"/>
                <w:szCs w:val="18"/>
                <w:lang w:eastAsia="tr-TR"/>
              </w:rPr>
            </w:pPr>
            <w:r w:rsidRPr="00071923">
              <w:rPr>
                <w:rFonts w:ascii="Arial" w:eastAsia="Times New Roman" w:hAnsi="Arial" w:cs="Arial"/>
                <w:sz w:val="18"/>
                <w:szCs w:val="18"/>
                <w:lang w:eastAsia="tr-TR"/>
              </w:rPr>
              <w:t>Genel Bütçe Vergi Gelirleri</w:t>
            </w:r>
          </w:p>
        </w:tc>
        <w:tc>
          <w:tcPr>
            <w:tcW w:w="979" w:type="dxa"/>
            <w:tcBorders>
              <w:top w:val="nil"/>
              <w:left w:val="nil"/>
              <w:bottom w:val="nil"/>
              <w:right w:val="nil"/>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326,2</w:t>
            </w:r>
          </w:p>
        </w:tc>
        <w:tc>
          <w:tcPr>
            <w:tcW w:w="1085" w:type="dxa"/>
            <w:tcBorders>
              <w:top w:val="nil"/>
              <w:left w:val="single" w:sz="4" w:space="0" w:color="auto"/>
              <w:bottom w:val="nil"/>
              <w:right w:val="nil"/>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351,6</w:t>
            </w:r>
          </w:p>
        </w:tc>
        <w:tc>
          <w:tcPr>
            <w:tcW w:w="992" w:type="dxa"/>
            <w:tcBorders>
              <w:top w:val="nil"/>
              <w:left w:val="single" w:sz="4" w:space="0" w:color="auto"/>
              <w:bottom w:val="nil"/>
              <w:right w:val="single" w:sz="4"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389,5</w:t>
            </w:r>
          </w:p>
        </w:tc>
        <w:tc>
          <w:tcPr>
            <w:tcW w:w="992" w:type="dxa"/>
            <w:tcBorders>
              <w:top w:val="nil"/>
              <w:left w:val="nil"/>
              <w:bottom w:val="nil"/>
              <w:right w:val="single" w:sz="4"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427,9</w:t>
            </w:r>
          </w:p>
        </w:tc>
        <w:tc>
          <w:tcPr>
            <w:tcW w:w="1062" w:type="dxa"/>
            <w:tcBorders>
              <w:top w:val="nil"/>
              <w:left w:val="nil"/>
              <w:bottom w:val="nil"/>
              <w:right w:val="single" w:sz="12"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468,5</w:t>
            </w:r>
          </w:p>
        </w:tc>
      </w:tr>
      <w:tr w:rsidR="00F76DC4" w:rsidRPr="00071923" w:rsidTr="008042B1">
        <w:trPr>
          <w:trHeight w:val="300"/>
        </w:trPr>
        <w:tc>
          <w:tcPr>
            <w:tcW w:w="4037"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100" w:firstLine="180"/>
              <w:rPr>
                <w:rFonts w:ascii="Arial" w:eastAsia="Times New Roman" w:hAnsi="Arial" w:cs="Arial"/>
                <w:sz w:val="18"/>
                <w:szCs w:val="18"/>
                <w:lang w:eastAsia="tr-TR"/>
              </w:rPr>
            </w:pPr>
            <w:r w:rsidRPr="00071923">
              <w:rPr>
                <w:rFonts w:ascii="Arial" w:eastAsia="Times New Roman" w:hAnsi="Arial" w:cs="Arial"/>
                <w:sz w:val="18"/>
                <w:szCs w:val="18"/>
                <w:lang w:eastAsia="tr-TR"/>
              </w:rPr>
              <w:t>Diğer Gelirler</w:t>
            </w:r>
          </w:p>
        </w:tc>
        <w:tc>
          <w:tcPr>
            <w:tcW w:w="979" w:type="dxa"/>
            <w:tcBorders>
              <w:top w:val="nil"/>
              <w:left w:val="nil"/>
              <w:bottom w:val="nil"/>
              <w:right w:val="nil"/>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63,5</w:t>
            </w:r>
          </w:p>
        </w:tc>
        <w:tc>
          <w:tcPr>
            <w:tcW w:w="1085" w:type="dxa"/>
            <w:tcBorders>
              <w:top w:val="nil"/>
              <w:left w:val="single" w:sz="4" w:space="0" w:color="auto"/>
              <w:bottom w:val="nil"/>
              <w:right w:val="nil"/>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72,4</w:t>
            </w:r>
          </w:p>
        </w:tc>
        <w:tc>
          <w:tcPr>
            <w:tcW w:w="992" w:type="dxa"/>
            <w:tcBorders>
              <w:top w:val="nil"/>
              <w:left w:val="single" w:sz="4" w:space="0" w:color="auto"/>
              <w:bottom w:val="nil"/>
              <w:right w:val="single" w:sz="4"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62,5</w:t>
            </w:r>
          </w:p>
        </w:tc>
        <w:tc>
          <w:tcPr>
            <w:tcW w:w="992" w:type="dxa"/>
            <w:tcBorders>
              <w:top w:val="nil"/>
              <w:left w:val="nil"/>
              <w:bottom w:val="nil"/>
              <w:right w:val="single" w:sz="4"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63,2</w:t>
            </w:r>
          </w:p>
        </w:tc>
        <w:tc>
          <w:tcPr>
            <w:tcW w:w="1062" w:type="dxa"/>
            <w:tcBorders>
              <w:top w:val="nil"/>
              <w:left w:val="nil"/>
              <w:bottom w:val="nil"/>
              <w:right w:val="single" w:sz="12"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65,7</w:t>
            </w:r>
          </w:p>
        </w:tc>
      </w:tr>
      <w:tr w:rsidR="00F76DC4" w:rsidRPr="00071923" w:rsidTr="008042B1">
        <w:trPr>
          <w:trHeight w:val="300"/>
        </w:trPr>
        <w:tc>
          <w:tcPr>
            <w:tcW w:w="4037"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Bütçe Dengesi</w:t>
            </w:r>
          </w:p>
        </w:tc>
        <w:tc>
          <w:tcPr>
            <w:tcW w:w="979" w:type="dxa"/>
            <w:tcBorders>
              <w:top w:val="nil"/>
              <w:left w:val="nil"/>
              <w:bottom w:val="nil"/>
              <w:right w:val="nil"/>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-18,5</w:t>
            </w:r>
          </w:p>
        </w:tc>
        <w:tc>
          <w:tcPr>
            <w:tcW w:w="1085" w:type="dxa"/>
            <w:tcBorders>
              <w:top w:val="nil"/>
              <w:left w:val="single" w:sz="4" w:space="0" w:color="auto"/>
              <w:bottom w:val="nil"/>
              <w:right w:val="nil"/>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-24,4</w:t>
            </w:r>
          </w:p>
        </w:tc>
        <w:tc>
          <w:tcPr>
            <w:tcW w:w="992" w:type="dxa"/>
            <w:tcBorders>
              <w:top w:val="nil"/>
              <w:left w:val="single" w:sz="4" w:space="0" w:color="auto"/>
              <w:bottom w:val="nil"/>
              <w:right w:val="single" w:sz="4"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-21,0</w:t>
            </w:r>
          </w:p>
        </w:tc>
        <w:tc>
          <w:tcPr>
            <w:tcW w:w="992" w:type="dxa"/>
            <w:tcBorders>
              <w:top w:val="nil"/>
              <w:left w:val="nil"/>
              <w:bottom w:val="nil"/>
              <w:right w:val="single" w:sz="4"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-15,8</w:t>
            </w:r>
          </w:p>
        </w:tc>
        <w:tc>
          <w:tcPr>
            <w:tcW w:w="1062" w:type="dxa"/>
            <w:tcBorders>
              <w:top w:val="nil"/>
              <w:left w:val="nil"/>
              <w:bottom w:val="nil"/>
              <w:right w:val="single" w:sz="12"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-7,1</w:t>
            </w:r>
          </w:p>
        </w:tc>
      </w:tr>
      <w:tr w:rsidR="00F76DC4" w:rsidRPr="00071923" w:rsidTr="008042B1">
        <w:trPr>
          <w:trHeight w:val="300"/>
        </w:trPr>
        <w:tc>
          <w:tcPr>
            <w:tcW w:w="4037" w:type="dxa"/>
            <w:tcBorders>
              <w:top w:val="nil"/>
              <w:left w:val="single" w:sz="12" w:space="0" w:color="auto"/>
              <w:bottom w:val="single" w:sz="4" w:space="0" w:color="auto"/>
              <w:right w:val="single" w:sz="4" w:space="0" w:color="auto"/>
            </w:tcBorders>
            <w:shd w:val="clear" w:color="000000" w:fill="FFFFFF"/>
            <w:noWrap/>
            <w:vAlign w:val="center"/>
            <w:hideMark/>
          </w:tcPr>
          <w:p w:rsidR="00F76DC4" w:rsidRPr="00071923" w:rsidRDefault="00F76DC4" w:rsidP="008042B1">
            <w:pPr>
              <w:spacing w:after="0" w:line="240" w:lineRule="auto"/>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Faiz Dışı Denge</w:t>
            </w:r>
          </w:p>
        </w:tc>
        <w:tc>
          <w:tcPr>
            <w:tcW w:w="979" w:type="dxa"/>
            <w:tcBorders>
              <w:top w:val="nil"/>
              <w:left w:val="nil"/>
              <w:bottom w:val="single" w:sz="4" w:space="0" w:color="auto"/>
              <w:right w:val="nil"/>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31,4</w:t>
            </w:r>
          </w:p>
        </w:tc>
        <w:tc>
          <w:tcPr>
            <w:tcW w:w="1085" w:type="dxa"/>
            <w:tcBorders>
              <w:top w:val="nil"/>
              <w:left w:val="single" w:sz="4" w:space="0" w:color="auto"/>
              <w:bottom w:val="single" w:sz="4" w:space="0" w:color="auto"/>
              <w:right w:val="nil"/>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25,8</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33,0</w:t>
            </w:r>
          </w:p>
        </w:tc>
        <w:tc>
          <w:tcPr>
            <w:tcW w:w="992" w:type="dxa"/>
            <w:tcBorders>
              <w:top w:val="nil"/>
              <w:left w:val="nil"/>
              <w:bottom w:val="single" w:sz="4" w:space="0" w:color="auto"/>
              <w:right w:val="single" w:sz="4"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38,2</w:t>
            </w:r>
          </w:p>
        </w:tc>
        <w:tc>
          <w:tcPr>
            <w:tcW w:w="1062" w:type="dxa"/>
            <w:tcBorders>
              <w:top w:val="nil"/>
              <w:left w:val="nil"/>
              <w:bottom w:val="single" w:sz="4" w:space="0" w:color="auto"/>
              <w:right w:val="single" w:sz="12"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47,9</w:t>
            </w:r>
          </w:p>
        </w:tc>
      </w:tr>
      <w:tr w:rsidR="00F76DC4" w:rsidRPr="00071923" w:rsidTr="008042B1">
        <w:trPr>
          <w:trHeight w:val="300"/>
        </w:trPr>
        <w:tc>
          <w:tcPr>
            <w:tcW w:w="4037"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Program Tanımlı Harcamalar</w:t>
            </w:r>
          </w:p>
        </w:tc>
        <w:tc>
          <w:tcPr>
            <w:tcW w:w="979" w:type="dxa"/>
            <w:tcBorders>
              <w:top w:val="nil"/>
              <w:left w:val="nil"/>
              <w:bottom w:val="nil"/>
              <w:right w:val="nil"/>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358,2</w:t>
            </w:r>
          </w:p>
        </w:tc>
        <w:tc>
          <w:tcPr>
            <w:tcW w:w="1085" w:type="dxa"/>
            <w:tcBorders>
              <w:top w:val="nil"/>
              <w:left w:val="single" w:sz="4" w:space="0" w:color="auto"/>
              <w:bottom w:val="nil"/>
              <w:right w:val="nil"/>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398,2</w:t>
            </w:r>
          </w:p>
        </w:tc>
        <w:tc>
          <w:tcPr>
            <w:tcW w:w="992" w:type="dxa"/>
            <w:tcBorders>
              <w:top w:val="nil"/>
              <w:left w:val="single" w:sz="4" w:space="0" w:color="auto"/>
              <w:bottom w:val="nil"/>
              <w:right w:val="single" w:sz="4"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418,9</w:t>
            </w:r>
          </w:p>
        </w:tc>
        <w:tc>
          <w:tcPr>
            <w:tcW w:w="992" w:type="dxa"/>
            <w:tcBorders>
              <w:top w:val="nil"/>
              <w:left w:val="nil"/>
              <w:bottom w:val="nil"/>
              <w:right w:val="single" w:sz="4"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452,8</w:t>
            </w:r>
          </w:p>
        </w:tc>
        <w:tc>
          <w:tcPr>
            <w:tcW w:w="1062" w:type="dxa"/>
            <w:tcBorders>
              <w:top w:val="nil"/>
              <w:left w:val="nil"/>
              <w:bottom w:val="nil"/>
              <w:right w:val="single" w:sz="12"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486,3</w:t>
            </w:r>
          </w:p>
        </w:tc>
      </w:tr>
      <w:tr w:rsidR="00F76DC4" w:rsidRPr="00071923" w:rsidTr="008042B1">
        <w:trPr>
          <w:trHeight w:val="300"/>
        </w:trPr>
        <w:tc>
          <w:tcPr>
            <w:tcW w:w="4037"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Program Tanımlı Gelirler</w:t>
            </w:r>
          </w:p>
        </w:tc>
        <w:tc>
          <w:tcPr>
            <w:tcW w:w="979" w:type="dxa"/>
            <w:tcBorders>
              <w:top w:val="nil"/>
              <w:left w:val="nil"/>
              <w:bottom w:val="nil"/>
              <w:right w:val="nil"/>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372,0</w:t>
            </w:r>
          </w:p>
        </w:tc>
        <w:tc>
          <w:tcPr>
            <w:tcW w:w="1085" w:type="dxa"/>
            <w:tcBorders>
              <w:top w:val="nil"/>
              <w:left w:val="single" w:sz="4" w:space="0" w:color="auto"/>
              <w:bottom w:val="nil"/>
              <w:right w:val="nil"/>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406,9</w:t>
            </w:r>
          </w:p>
        </w:tc>
        <w:tc>
          <w:tcPr>
            <w:tcW w:w="992" w:type="dxa"/>
            <w:tcBorders>
              <w:top w:val="nil"/>
              <w:left w:val="single" w:sz="4" w:space="0" w:color="auto"/>
              <w:bottom w:val="nil"/>
              <w:right w:val="single" w:sz="4"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439,7</w:t>
            </w:r>
          </w:p>
        </w:tc>
        <w:tc>
          <w:tcPr>
            <w:tcW w:w="992" w:type="dxa"/>
            <w:tcBorders>
              <w:top w:val="nil"/>
              <w:left w:val="nil"/>
              <w:bottom w:val="nil"/>
              <w:right w:val="single" w:sz="4"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480,9</w:t>
            </w:r>
          </w:p>
        </w:tc>
        <w:tc>
          <w:tcPr>
            <w:tcW w:w="1062" w:type="dxa"/>
            <w:tcBorders>
              <w:top w:val="nil"/>
              <w:left w:val="nil"/>
              <w:bottom w:val="nil"/>
              <w:right w:val="single" w:sz="12"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525,6</w:t>
            </w:r>
          </w:p>
        </w:tc>
      </w:tr>
      <w:tr w:rsidR="00F76DC4" w:rsidRPr="00071923" w:rsidTr="008042B1">
        <w:trPr>
          <w:trHeight w:val="300"/>
        </w:trPr>
        <w:tc>
          <w:tcPr>
            <w:tcW w:w="4037" w:type="dxa"/>
            <w:tcBorders>
              <w:top w:val="nil"/>
              <w:left w:val="single" w:sz="12" w:space="0" w:color="auto"/>
              <w:bottom w:val="single" w:sz="12" w:space="0" w:color="auto"/>
              <w:right w:val="single" w:sz="4" w:space="0" w:color="auto"/>
            </w:tcBorders>
            <w:shd w:val="clear" w:color="000000" w:fill="FFFFFF"/>
            <w:noWrap/>
            <w:vAlign w:val="center"/>
            <w:hideMark/>
          </w:tcPr>
          <w:p w:rsidR="00F76DC4" w:rsidRPr="00071923" w:rsidRDefault="00F76DC4" w:rsidP="008042B1">
            <w:pPr>
              <w:spacing w:after="0" w:line="240" w:lineRule="auto"/>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Program Tanımlı Denge</w:t>
            </w:r>
          </w:p>
        </w:tc>
        <w:tc>
          <w:tcPr>
            <w:tcW w:w="979" w:type="dxa"/>
            <w:tcBorders>
              <w:top w:val="nil"/>
              <w:left w:val="nil"/>
              <w:bottom w:val="single" w:sz="12" w:space="0" w:color="auto"/>
              <w:right w:val="nil"/>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13,8</w:t>
            </w:r>
          </w:p>
        </w:tc>
        <w:tc>
          <w:tcPr>
            <w:tcW w:w="1085" w:type="dxa"/>
            <w:tcBorders>
              <w:top w:val="nil"/>
              <w:left w:val="single" w:sz="4" w:space="0" w:color="auto"/>
              <w:bottom w:val="single" w:sz="12" w:space="0" w:color="auto"/>
              <w:right w:val="nil"/>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8,6</w:t>
            </w:r>
          </w:p>
        </w:tc>
        <w:tc>
          <w:tcPr>
            <w:tcW w:w="992" w:type="dxa"/>
            <w:tcBorders>
              <w:top w:val="nil"/>
              <w:left w:val="single" w:sz="4" w:space="0" w:color="auto"/>
              <w:bottom w:val="single" w:sz="12" w:space="0" w:color="auto"/>
              <w:right w:val="single" w:sz="4"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20,7</w:t>
            </w:r>
          </w:p>
        </w:tc>
        <w:tc>
          <w:tcPr>
            <w:tcW w:w="992" w:type="dxa"/>
            <w:tcBorders>
              <w:top w:val="nil"/>
              <w:left w:val="nil"/>
              <w:bottom w:val="single" w:sz="12" w:space="0" w:color="auto"/>
              <w:right w:val="single" w:sz="4"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28,1</w:t>
            </w:r>
          </w:p>
        </w:tc>
        <w:tc>
          <w:tcPr>
            <w:tcW w:w="1062" w:type="dxa"/>
            <w:tcBorders>
              <w:top w:val="nil"/>
              <w:left w:val="nil"/>
              <w:bottom w:val="single" w:sz="12" w:space="0" w:color="auto"/>
              <w:right w:val="single" w:sz="12" w:space="0" w:color="auto"/>
            </w:tcBorders>
            <w:shd w:val="clear" w:color="000000" w:fill="FFFFFF"/>
            <w:noWrap/>
            <w:vAlign w:val="center"/>
            <w:hideMark/>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39,3</w:t>
            </w:r>
          </w:p>
        </w:tc>
      </w:tr>
      <w:tr w:rsidR="00F76DC4" w:rsidRPr="00071923" w:rsidTr="008042B1">
        <w:trPr>
          <w:trHeight w:val="300"/>
        </w:trPr>
        <w:tc>
          <w:tcPr>
            <w:tcW w:w="4037" w:type="dxa"/>
            <w:tcBorders>
              <w:top w:val="single" w:sz="12" w:space="0" w:color="auto"/>
              <w:left w:val="single" w:sz="12" w:space="0" w:color="auto"/>
              <w:bottom w:val="single" w:sz="4" w:space="0" w:color="auto"/>
              <w:right w:val="single" w:sz="4" w:space="0" w:color="auto"/>
            </w:tcBorders>
            <w:shd w:val="clear" w:color="000000" w:fill="FFFFFF"/>
            <w:noWrap/>
            <w:vAlign w:val="bottom"/>
            <w:hideMark/>
          </w:tcPr>
          <w:p w:rsidR="00F76DC4" w:rsidRPr="00071923" w:rsidRDefault="00F76DC4" w:rsidP="008042B1">
            <w:pPr>
              <w:spacing w:after="0" w:line="240" w:lineRule="auto"/>
              <w:rPr>
                <w:rFonts w:ascii="Arial" w:eastAsia="Times New Roman" w:hAnsi="Arial" w:cs="Arial"/>
                <w:sz w:val="18"/>
                <w:szCs w:val="18"/>
                <w:lang w:eastAsia="tr-TR"/>
              </w:rPr>
            </w:pPr>
            <w:r w:rsidRPr="00071923">
              <w:rPr>
                <w:rFonts w:ascii="Arial" w:eastAsia="Times New Roman" w:hAnsi="Arial" w:cs="Arial"/>
                <w:sz w:val="18"/>
                <w:szCs w:val="18"/>
                <w:lang w:eastAsia="tr-TR"/>
              </w:rPr>
              <w:t> </w:t>
            </w:r>
          </w:p>
        </w:tc>
        <w:tc>
          <w:tcPr>
            <w:tcW w:w="5110" w:type="dxa"/>
            <w:gridSpan w:val="5"/>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F76DC4" w:rsidRPr="00071923" w:rsidRDefault="00F76DC4" w:rsidP="008042B1">
            <w:pPr>
              <w:spacing w:after="0" w:line="240" w:lineRule="auto"/>
              <w:jc w:val="center"/>
              <w:rPr>
                <w:rFonts w:ascii="Arial" w:eastAsia="Times New Roman" w:hAnsi="Arial" w:cs="Arial"/>
                <w:sz w:val="18"/>
                <w:szCs w:val="18"/>
                <w:lang w:eastAsia="tr-TR"/>
              </w:rPr>
            </w:pPr>
            <w:r w:rsidRPr="00071923">
              <w:rPr>
                <w:rFonts w:ascii="Arial" w:hAnsi="Arial" w:cs="Arial"/>
                <w:sz w:val="18"/>
                <w:szCs w:val="18"/>
              </w:rPr>
              <w:t>(</w:t>
            </w:r>
            <w:proofErr w:type="spellStart"/>
            <w:r w:rsidRPr="00071923">
              <w:rPr>
                <w:rFonts w:ascii="Arial" w:hAnsi="Arial" w:cs="Arial"/>
                <w:sz w:val="18"/>
                <w:szCs w:val="18"/>
              </w:rPr>
              <w:t>GSYH’ya</w:t>
            </w:r>
            <w:proofErr w:type="spellEnd"/>
            <w:r w:rsidRPr="00071923">
              <w:rPr>
                <w:rFonts w:ascii="Arial" w:hAnsi="Arial" w:cs="Arial"/>
                <w:sz w:val="18"/>
                <w:szCs w:val="18"/>
              </w:rPr>
              <w:t xml:space="preserve"> Oran, Yüzde)</w:t>
            </w:r>
          </w:p>
        </w:tc>
      </w:tr>
      <w:tr w:rsidR="00F76DC4" w:rsidRPr="00071923" w:rsidTr="008042B1">
        <w:trPr>
          <w:trHeight w:val="300"/>
        </w:trPr>
        <w:tc>
          <w:tcPr>
            <w:tcW w:w="4037" w:type="dxa"/>
            <w:tcBorders>
              <w:top w:val="single" w:sz="4" w:space="0" w:color="auto"/>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Harcamalar</w:t>
            </w:r>
          </w:p>
        </w:tc>
        <w:tc>
          <w:tcPr>
            <w:tcW w:w="979" w:type="dxa"/>
            <w:tcBorders>
              <w:top w:val="single" w:sz="4" w:space="0" w:color="auto"/>
              <w:left w:val="single" w:sz="4" w:space="0" w:color="auto"/>
              <w:bottom w:val="nil"/>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26,1</w:t>
            </w:r>
          </w:p>
        </w:tc>
        <w:tc>
          <w:tcPr>
            <w:tcW w:w="1085" w:type="dxa"/>
            <w:tcBorders>
              <w:top w:val="single" w:sz="4" w:space="0" w:color="auto"/>
              <w:left w:val="single" w:sz="4" w:space="0" w:color="auto"/>
              <w:bottom w:val="nil"/>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25,4</w:t>
            </w:r>
          </w:p>
        </w:tc>
        <w:tc>
          <w:tcPr>
            <w:tcW w:w="992" w:type="dxa"/>
            <w:tcBorders>
              <w:top w:val="single" w:sz="4" w:space="0" w:color="auto"/>
              <w:left w:val="single" w:sz="4" w:space="0" w:color="auto"/>
              <w:bottom w:val="nil"/>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24,3</w:t>
            </w:r>
          </w:p>
        </w:tc>
        <w:tc>
          <w:tcPr>
            <w:tcW w:w="992" w:type="dxa"/>
            <w:tcBorders>
              <w:top w:val="single" w:sz="4" w:space="0" w:color="auto"/>
              <w:left w:val="single" w:sz="4" w:space="0" w:color="auto"/>
              <w:bottom w:val="nil"/>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23,6</w:t>
            </w:r>
          </w:p>
        </w:tc>
        <w:tc>
          <w:tcPr>
            <w:tcW w:w="1062" w:type="dxa"/>
            <w:tcBorders>
              <w:top w:val="single" w:sz="4" w:space="0" w:color="auto"/>
              <w:left w:val="single" w:sz="4" w:space="0" w:color="auto"/>
              <w:bottom w:val="nil"/>
              <w:right w:val="single" w:sz="12"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22,8</w:t>
            </w:r>
          </w:p>
        </w:tc>
      </w:tr>
      <w:tr w:rsidR="00F76DC4" w:rsidRPr="00071923" w:rsidTr="008042B1">
        <w:trPr>
          <w:trHeight w:val="300"/>
        </w:trPr>
        <w:tc>
          <w:tcPr>
            <w:tcW w:w="4037" w:type="dxa"/>
            <w:tcBorders>
              <w:top w:val="nil"/>
              <w:left w:val="single" w:sz="12" w:space="0" w:color="auto"/>
              <w:right w:val="single" w:sz="4" w:space="0" w:color="auto"/>
            </w:tcBorders>
            <w:shd w:val="clear" w:color="000000" w:fill="FFFFFF"/>
            <w:noWrap/>
            <w:vAlign w:val="center"/>
            <w:hideMark/>
          </w:tcPr>
          <w:p w:rsidR="00F76DC4" w:rsidRPr="00071923" w:rsidRDefault="00F76DC4" w:rsidP="008042B1">
            <w:pPr>
              <w:spacing w:after="0" w:line="240" w:lineRule="auto"/>
              <w:ind w:firstLineChars="100" w:firstLine="180"/>
              <w:rPr>
                <w:rFonts w:ascii="Arial" w:eastAsia="Times New Roman" w:hAnsi="Arial" w:cs="Arial"/>
                <w:sz w:val="18"/>
                <w:szCs w:val="18"/>
                <w:lang w:eastAsia="tr-TR"/>
              </w:rPr>
            </w:pPr>
            <w:r w:rsidRPr="00071923">
              <w:rPr>
                <w:rFonts w:ascii="Arial" w:eastAsia="Times New Roman" w:hAnsi="Arial" w:cs="Arial"/>
                <w:sz w:val="18"/>
                <w:szCs w:val="18"/>
                <w:lang w:eastAsia="tr-TR"/>
              </w:rPr>
              <w:t>Faiz Hariç Harcamalar</w:t>
            </w:r>
          </w:p>
        </w:tc>
        <w:tc>
          <w:tcPr>
            <w:tcW w:w="979" w:type="dxa"/>
            <w:tcBorders>
              <w:top w:val="nil"/>
              <w:left w:val="single" w:sz="4" w:space="0" w:color="auto"/>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22,9</w:t>
            </w:r>
          </w:p>
        </w:tc>
        <w:tc>
          <w:tcPr>
            <w:tcW w:w="1085" w:type="dxa"/>
            <w:tcBorders>
              <w:top w:val="nil"/>
              <w:left w:val="single" w:sz="4" w:space="0" w:color="auto"/>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22,6</w:t>
            </w:r>
          </w:p>
        </w:tc>
        <w:tc>
          <w:tcPr>
            <w:tcW w:w="992" w:type="dxa"/>
            <w:tcBorders>
              <w:top w:val="nil"/>
              <w:left w:val="single" w:sz="4" w:space="0" w:color="auto"/>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21,5</w:t>
            </w:r>
          </w:p>
        </w:tc>
        <w:tc>
          <w:tcPr>
            <w:tcW w:w="992" w:type="dxa"/>
            <w:tcBorders>
              <w:top w:val="nil"/>
              <w:left w:val="single" w:sz="4" w:space="0" w:color="auto"/>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21,1</w:t>
            </w:r>
          </w:p>
        </w:tc>
        <w:tc>
          <w:tcPr>
            <w:tcW w:w="1062" w:type="dxa"/>
            <w:tcBorders>
              <w:top w:val="nil"/>
              <w:left w:val="single" w:sz="4" w:space="0" w:color="auto"/>
              <w:right w:val="single" w:sz="12"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20,5</w:t>
            </w:r>
          </w:p>
        </w:tc>
      </w:tr>
      <w:tr w:rsidR="00F76DC4" w:rsidRPr="00071923" w:rsidTr="008042B1">
        <w:trPr>
          <w:trHeight w:val="300"/>
        </w:trPr>
        <w:tc>
          <w:tcPr>
            <w:tcW w:w="4037" w:type="dxa"/>
            <w:tcBorders>
              <w:top w:val="nil"/>
              <w:left w:val="single" w:sz="12" w:space="0" w:color="auto"/>
              <w:bottom w:val="single" w:sz="6" w:space="0" w:color="auto"/>
              <w:right w:val="single" w:sz="4" w:space="0" w:color="auto"/>
            </w:tcBorders>
            <w:shd w:val="clear" w:color="000000" w:fill="FFFFFF"/>
            <w:noWrap/>
            <w:vAlign w:val="center"/>
            <w:hideMark/>
          </w:tcPr>
          <w:p w:rsidR="00F76DC4" w:rsidRPr="00071923" w:rsidRDefault="00F76DC4" w:rsidP="008042B1">
            <w:pPr>
              <w:spacing w:after="0" w:line="240" w:lineRule="auto"/>
              <w:ind w:firstLineChars="100" w:firstLine="180"/>
              <w:rPr>
                <w:rFonts w:ascii="Arial" w:eastAsia="Times New Roman" w:hAnsi="Arial" w:cs="Arial"/>
                <w:sz w:val="18"/>
                <w:szCs w:val="18"/>
                <w:lang w:eastAsia="tr-TR"/>
              </w:rPr>
            </w:pPr>
            <w:r w:rsidRPr="00071923">
              <w:rPr>
                <w:rFonts w:ascii="Arial" w:eastAsia="Times New Roman" w:hAnsi="Arial" w:cs="Arial"/>
                <w:sz w:val="18"/>
                <w:szCs w:val="18"/>
                <w:lang w:eastAsia="tr-TR"/>
              </w:rPr>
              <w:t>Faiz Giderleri</w:t>
            </w:r>
          </w:p>
        </w:tc>
        <w:tc>
          <w:tcPr>
            <w:tcW w:w="979" w:type="dxa"/>
            <w:tcBorders>
              <w:top w:val="nil"/>
              <w:left w:val="single" w:sz="4" w:space="0" w:color="auto"/>
              <w:bottom w:val="single" w:sz="6" w:space="0" w:color="auto"/>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3,2</w:t>
            </w:r>
          </w:p>
        </w:tc>
        <w:tc>
          <w:tcPr>
            <w:tcW w:w="1085" w:type="dxa"/>
            <w:tcBorders>
              <w:top w:val="nil"/>
              <w:left w:val="single" w:sz="4" w:space="0" w:color="auto"/>
              <w:bottom w:val="single" w:sz="6" w:space="0" w:color="auto"/>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2,8</w:t>
            </w:r>
          </w:p>
        </w:tc>
        <w:tc>
          <w:tcPr>
            <w:tcW w:w="992" w:type="dxa"/>
            <w:tcBorders>
              <w:top w:val="nil"/>
              <w:left w:val="single" w:sz="4" w:space="0" w:color="auto"/>
              <w:bottom w:val="single" w:sz="6" w:space="0" w:color="auto"/>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2,8</w:t>
            </w:r>
          </w:p>
        </w:tc>
        <w:tc>
          <w:tcPr>
            <w:tcW w:w="992" w:type="dxa"/>
            <w:tcBorders>
              <w:top w:val="nil"/>
              <w:left w:val="single" w:sz="4" w:space="0" w:color="auto"/>
              <w:bottom w:val="single" w:sz="6" w:space="0" w:color="auto"/>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2,5</w:t>
            </w:r>
          </w:p>
        </w:tc>
        <w:tc>
          <w:tcPr>
            <w:tcW w:w="1062" w:type="dxa"/>
            <w:tcBorders>
              <w:top w:val="nil"/>
              <w:left w:val="single" w:sz="4" w:space="0" w:color="auto"/>
              <w:bottom w:val="single" w:sz="6" w:space="0" w:color="auto"/>
              <w:right w:val="single" w:sz="12"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2,3</w:t>
            </w:r>
          </w:p>
        </w:tc>
      </w:tr>
      <w:tr w:rsidR="00F76DC4" w:rsidRPr="00071923" w:rsidTr="008042B1">
        <w:trPr>
          <w:trHeight w:val="300"/>
        </w:trPr>
        <w:tc>
          <w:tcPr>
            <w:tcW w:w="4037" w:type="dxa"/>
            <w:tcBorders>
              <w:top w:val="single" w:sz="6" w:space="0" w:color="auto"/>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Gelirler</w:t>
            </w:r>
          </w:p>
        </w:tc>
        <w:tc>
          <w:tcPr>
            <w:tcW w:w="979" w:type="dxa"/>
            <w:tcBorders>
              <w:top w:val="single" w:sz="6" w:space="0" w:color="auto"/>
              <w:left w:val="single" w:sz="4" w:space="0" w:color="auto"/>
              <w:bottom w:val="nil"/>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24,9</w:t>
            </w:r>
          </w:p>
        </w:tc>
        <w:tc>
          <w:tcPr>
            <w:tcW w:w="1085" w:type="dxa"/>
            <w:tcBorders>
              <w:top w:val="single" w:sz="6" w:space="0" w:color="auto"/>
              <w:left w:val="single" w:sz="4" w:space="0" w:color="auto"/>
              <w:bottom w:val="nil"/>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24,0</w:t>
            </w:r>
          </w:p>
        </w:tc>
        <w:tc>
          <w:tcPr>
            <w:tcW w:w="992" w:type="dxa"/>
            <w:tcBorders>
              <w:top w:val="single" w:sz="6" w:space="0" w:color="auto"/>
              <w:left w:val="single" w:sz="4" w:space="0" w:color="auto"/>
              <w:bottom w:val="nil"/>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23,2</w:t>
            </w:r>
          </w:p>
        </w:tc>
        <w:tc>
          <w:tcPr>
            <w:tcW w:w="992" w:type="dxa"/>
            <w:tcBorders>
              <w:top w:val="single" w:sz="6" w:space="0" w:color="auto"/>
              <w:left w:val="single" w:sz="4" w:space="0" w:color="auto"/>
              <w:bottom w:val="nil"/>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22,8</w:t>
            </w:r>
          </w:p>
        </w:tc>
        <w:tc>
          <w:tcPr>
            <w:tcW w:w="1062" w:type="dxa"/>
            <w:tcBorders>
              <w:top w:val="single" w:sz="6" w:space="0" w:color="auto"/>
              <w:left w:val="single" w:sz="4" w:space="0" w:color="auto"/>
              <w:bottom w:val="nil"/>
              <w:right w:val="single" w:sz="12"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22,5</w:t>
            </w:r>
          </w:p>
        </w:tc>
      </w:tr>
      <w:tr w:rsidR="00F76DC4" w:rsidRPr="00071923" w:rsidTr="008042B1">
        <w:trPr>
          <w:trHeight w:val="300"/>
        </w:trPr>
        <w:tc>
          <w:tcPr>
            <w:tcW w:w="4037"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100" w:firstLine="180"/>
              <w:rPr>
                <w:rFonts w:ascii="Arial" w:eastAsia="Times New Roman" w:hAnsi="Arial" w:cs="Arial"/>
                <w:sz w:val="18"/>
                <w:szCs w:val="18"/>
                <w:lang w:eastAsia="tr-TR"/>
              </w:rPr>
            </w:pPr>
            <w:r w:rsidRPr="00071923">
              <w:rPr>
                <w:rFonts w:ascii="Arial" w:eastAsia="Times New Roman" w:hAnsi="Arial" w:cs="Arial"/>
                <w:sz w:val="18"/>
                <w:szCs w:val="18"/>
                <w:lang w:eastAsia="tr-TR"/>
              </w:rPr>
              <w:t>Genel Bütçe Vergi Gelirleri</w:t>
            </w:r>
          </w:p>
        </w:tc>
        <w:tc>
          <w:tcPr>
            <w:tcW w:w="979" w:type="dxa"/>
            <w:tcBorders>
              <w:top w:val="nil"/>
              <w:left w:val="single" w:sz="4" w:space="0" w:color="auto"/>
              <w:bottom w:val="nil"/>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20,8</w:t>
            </w:r>
          </w:p>
        </w:tc>
        <w:tc>
          <w:tcPr>
            <w:tcW w:w="1085" w:type="dxa"/>
            <w:tcBorders>
              <w:top w:val="nil"/>
              <w:left w:val="single" w:sz="4" w:space="0" w:color="auto"/>
              <w:bottom w:val="nil"/>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19,9</w:t>
            </w:r>
          </w:p>
        </w:tc>
        <w:tc>
          <w:tcPr>
            <w:tcW w:w="992" w:type="dxa"/>
            <w:tcBorders>
              <w:top w:val="nil"/>
              <w:left w:val="single" w:sz="4" w:space="0" w:color="auto"/>
              <w:bottom w:val="nil"/>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20,0</w:t>
            </w:r>
          </w:p>
        </w:tc>
        <w:tc>
          <w:tcPr>
            <w:tcW w:w="992" w:type="dxa"/>
            <w:tcBorders>
              <w:top w:val="nil"/>
              <w:left w:val="single" w:sz="4" w:space="0" w:color="auto"/>
              <w:bottom w:val="nil"/>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19,9</w:t>
            </w:r>
          </w:p>
        </w:tc>
        <w:tc>
          <w:tcPr>
            <w:tcW w:w="1062" w:type="dxa"/>
            <w:tcBorders>
              <w:top w:val="nil"/>
              <w:left w:val="single" w:sz="4" w:space="0" w:color="auto"/>
              <w:bottom w:val="nil"/>
              <w:right w:val="single" w:sz="12"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19,8</w:t>
            </w:r>
          </w:p>
        </w:tc>
      </w:tr>
      <w:tr w:rsidR="00F76DC4" w:rsidRPr="00071923" w:rsidTr="008042B1">
        <w:trPr>
          <w:trHeight w:val="300"/>
        </w:trPr>
        <w:tc>
          <w:tcPr>
            <w:tcW w:w="4037"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ind w:firstLineChars="100" w:firstLine="180"/>
              <w:rPr>
                <w:rFonts w:ascii="Arial" w:eastAsia="Times New Roman" w:hAnsi="Arial" w:cs="Arial"/>
                <w:sz w:val="18"/>
                <w:szCs w:val="18"/>
                <w:lang w:eastAsia="tr-TR"/>
              </w:rPr>
            </w:pPr>
            <w:r w:rsidRPr="00071923">
              <w:rPr>
                <w:rFonts w:ascii="Arial" w:eastAsia="Times New Roman" w:hAnsi="Arial" w:cs="Arial"/>
                <w:sz w:val="18"/>
                <w:szCs w:val="18"/>
                <w:lang w:eastAsia="tr-TR"/>
              </w:rPr>
              <w:t>Diğer Gelirler</w:t>
            </w:r>
          </w:p>
        </w:tc>
        <w:tc>
          <w:tcPr>
            <w:tcW w:w="979" w:type="dxa"/>
            <w:tcBorders>
              <w:top w:val="nil"/>
              <w:left w:val="single" w:sz="4" w:space="0" w:color="auto"/>
              <w:bottom w:val="nil"/>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4,1</w:t>
            </w:r>
          </w:p>
        </w:tc>
        <w:tc>
          <w:tcPr>
            <w:tcW w:w="1085" w:type="dxa"/>
            <w:tcBorders>
              <w:top w:val="nil"/>
              <w:left w:val="single" w:sz="4" w:space="0" w:color="auto"/>
              <w:bottom w:val="nil"/>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4,1</w:t>
            </w:r>
          </w:p>
        </w:tc>
        <w:tc>
          <w:tcPr>
            <w:tcW w:w="992" w:type="dxa"/>
            <w:tcBorders>
              <w:top w:val="nil"/>
              <w:left w:val="single" w:sz="4" w:space="0" w:color="auto"/>
              <w:bottom w:val="nil"/>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3,2</w:t>
            </w:r>
          </w:p>
        </w:tc>
        <w:tc>
          <w:tcPr>
            <w:tcW w:w="992" w:type="dxa"/>
            <w:tcBorders>
              <w:top w:val="nil"/>
              <w:left w:val="single" w:sz="4" w:space="0" w:color="auto"/>
              <w:bottom w:val="nil"/>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2,9</w:t>
            </w:r>
          </w:p>
        </w:tc>
        <w:tc>
          <w:tcPr>
            <w:tcW w:w="1062" w:type="dxa"/>
            <w:tcBorders>
              <w:top w:val="nil"/>
              <w:left w:val="single" w:sz="4" w:space="0" w:color="auto"/>
              <w:bottom w:val="nil"/>
              <w:right w:val="single" w:sz="12"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Cs/>
                <w:sz w:val="18"/>
                <w:szCs w:val="18"/>
                <w:lang w:eastAsia="tr-TR"/>
              </w:rPr>
            </w:pPr>
            <w:r w:rsidRPr="00874462">
              <w:rPr>
                <w:rFonts w:ascii="Arial" w:eastAsia="Times New Roman" w:hAnsi="Arial" w:cs="Arial"/>
                <w:bCs/>
                <w:sz w:val="18"/>
                <w:szCs w:val="18"/>
                <w:lang w:eastAsia="tr-TR"/>
              </w:rPr>
              <w:t>2,8</w:t>
            </w:r>
          </w:p>
        </w:tc>
      </w:tr>
      <w:tr w:rsidR="00F76DC4" w:rsidRPr="00071923" w:rsidTr="008042B1">
        <w:trPr>
          <w:trHeight w:val="300"/>
        </w:trPr>
        <w:tc>
          <w:tcPr>
            <w:tcW w:w="4037" w:type="dxa"/>
            <w:tcBorders>
              <w:top w:val="nil"/>
              <w:left w:val="single" w:sz="12" w:space="0" w:color="auto"/>
              <w:right w:val="single" w:sz="4" w:space="0" w:color="auto"/>
            </w:tcBorders>
            <w:shd w:val="clear" w:color="000000" w:fill="FFFFFF"/>
            <w:noWrap/>
            <w:vAlign w:val="center"/>
            <w:hideMark/>
          </w:tcPr>
          <w:p w:rsidR="00F76DC4" w:rsidRPr="00071923" w:rsidRDefault="00F76DC4" w:rsidP="008042B1">
            <w:pPr>
              <w:spacing w:after="0" w:line="240" w:lineRule="auto"/>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Bütçe Dengesi</w:t>
            </w:r>
          </w:p>
        </w:tc>
        <w:tc>
          <w:tcPr>
            <w:tcW w:w="979" w:type="dxa"/>
            <w:tcBorders>
              <w:top w:val="nil"/>
              <w:left w:val="single" w:sz="4" w:space="0" w:color="auto"/>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-1,2</w:t>
            </w:r>
          </w:p>
        </w:tc>
        <w:tc>
          <w:tcPr>
            <w:tcW w:w="1085" w:type="dxa"/>
            <w:tcBorders>
              <w:top w:val="nil"/>
              <w:left w:val="single" w:sz="4" w:space="0" w:color="auto"/>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-1,4</w:t>
            </w:r>
          </w:p>
        </w:tc>
        <w:tc>
          <w:tcPr>
            <w:tcW w:w="992" w:type="dxa"/>
            <w:tcBorders>
              <w:top w:val="nil"/>
              <w:left w:val="single" w:sz="4" w:space="0" w:color="auto"/>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-1,1</w:t>
            </w:r>
          </w:p>
        </w:tc>
        <w:tc>
          <w:tcPr>
            <w:tcW w:w="992" w:type="dxa"/>
            <w:tcBorders>
              <w:top w:val="nil"/>
              <w:left w:val="single" w:sz="4" w:space="0" w:color="auto"/>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-0,7</w:t>
            </w:r>
          </w:p>
        </w:tc>
        <w:tc>
          <w:tcPr>
            <w:tcW w:w="1062" w:type="dxa"/>
            <w:tcBorders>
              <w:top w:val="nil"/>
              <w:left w:val="single" w:sz="4" w:space="0" w:color="auto"/>
              <w:right w:val="single" w:sz="12"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-0,3</w:t>
            </w:r>
          </w:p>
        </w:tc>
      </w:tr>
      <w:tr w:rsidR="00F76DC4" w:rsidRPr="00071923" w:rsidTr="008042B1">
        <w:trPr>
          <w:trHeight w:val="300"/>
        </w:trPr>
        <w:tc>
          <w:tcPr>
            <w:tcW w:w="4037" w:type="dxa"/>
            <w:tcBorders>
              <w:top w:val="nil"/>
              <w:left w:val="single" w:sz="12" w:space="0" w:color="auto"/>
              <w:bottom w:val="single" w:sz="6" w:space="0" w:color="auto"/>
              <w:right w:val="single" w:sz="4" w:space="0" w:color="auto"/>
            </w:tcBorders>
            <w:shd w:val="clear" w:color="000000" w:fill="FFFFFF"/>
            <w:noWrap/>
            <w:vAlign w:val="center"/>
            <w:hideMark/>
          </w:tcPr>
          <w:p w:rsidR="00F76DC4" w:rsidRPr="00071923" w:rsidRDefault="00F76DC4" w:rsidP="008042B1">
            <w:pPr>
              <w:spacing w:after="0" w:line="240" w:lineRule="auto"/>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Faiz Dışı Denge</w:t>
            </w:r>
          </w:p>
        </w:tc>
        <w:tc>
          <w:tcPr>
            <w:tcW w:w="979" w:type="dxa"/>
            <w:tcBorders>
              <w:top w:val="nil"/>
              <w:left w:val="single" w:sz="4" w:space="0" w:color="auto"/>
              <w:bottom w:val="single" w:sz="6" w:space="0" w:color="auto"/>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2,0</w:t>
            </w:r>
          </w:p>
        </w:tc>
        <w:tc>
          <w:tcPr>
            <w:tcW w:w="1085" w:type="dxa"/>
            <w:tcBorders>
              <w:top w:val="nil"/>
              <w:left w:val="single" w:sz="4" w:space="0" w:color="auto"/>
              <w:bottom w:val="single" w:sz="6" w:space="0" w:color="auto"/>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1,5</w:t>
            </w:r>
          </w:p>
        </w:tc>
        <w:tc>
          <w:tcPr>
            <w:tcW w:w="992" w:type="dxa"/>
            <w:tcBorders>
              <w:top w:val="nil"/>
              <w:left w:val="single" w:sz="4" w:space="0" w:color="auto"/>
              <w:bottom w:val="single" w:sz="6" w:space="0" w:color="auto"/>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1,7</w:t>
            </w:r>
          </w:p>
        </w:tc>
        <w:tc>
          <w:tcPr>
            <w:tcW w:w="992" w:type="dxa"/>
            <w:tcBorders>
              <w:top w:val="nil"/>
              <w:left w:val="single" w:sz="4" w:space="0" w:color="auto"/>
              <w:bottom w:val="single" w:sz="6" w:space="0" w:color="auto"/>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1,8</w:t>
            </w:r>
          </w:p>
        </w:tc>
        <w:tc>
          <w:tcPr>
            <w:tcW w:w="1062" w:type="dxa"/>
            <w:tcBorders>
              <w:top w:val="nil"/>
              <w:left w:val="single" w:sz="4" w:space="0" w:color="auto"/>
              <w:bottom w:val="single" w:sz="6" w:space="0" w:color="auto"/>
              <w:right w:val="single" w:sz="12"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2,0</w:t>
            </w:r>
          </w:p>
        </w:tc>
      </w:tr>
      <w:tr w:rsidR="00F76DC4" w:rsidRPr="00071923" w:rsidTr="008042B1">
        <w:trPr>
          <w:trHeight w:val="300"/>
        </w:trPr>
        <w:tc>
          <w:tcPr>
            <w:tcW w:w="4037" w:type="dxa"/>
            <w:tcBorders>
              <w:top w:val="single" w:sz="6" w:space="0" w:color="auto"/>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Program Tanımlı Harcamalar</w:t>
            </w:r>
          </w:p>
        </w:tc>
        <w:tc>
          <w:tcPr>
            <w:tcW w:w="979" w:type="dxa"/>
            <w:tcBorders>
              <w:top w:val="single" w:sz="6" w:space="0" w:color="auto"/>
              <w:left w:val="single" w:sz="4" w:space="0" w:color="auto"/>
              <w:bottom w:val="nil"/>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22,9</w:t>
            </w:r>
          </w:p>
        </w:tc>
        <w:tc>
          <w:tcPr>
            <w:tcW w:w="1085" w:type="dxa"/>
            <w:tcBorders>
              <w:top w:val="single" w:sz="6" w:space="0" w:color="auto"/>
              <w:left w:val="single" w:sz="4" w:space="0" w:color="auto"/>
              <w:bottom w:val="nil"/>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22,6</w:t>
            </w:r>
          </w:p>
        </w:tc>
        <w:tc>
          <w:tcPr>
            <w:tcW w:w="992" w:type="dxa"/>
            <w:tcBorders>
              <w:top w:val="single" w:sz="6" w:space="0" w:color="auto"/>
              <w:left w:val="single" w:sz="4" w:space="0" w:color="auto"/>
              <w:bottom w:val="nil"/>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21,5</w:t>
            </w:r>
          </w:p>
        </w:tc>
        <w:tc>
          <w:tcPr>
            <w:tcW w:w="992" w:type="dxa"/>
            <w:tcBorders>
              <w:top w:val="single" w:sz="6" w:space="0" w:color="auto"/>
              <w:left w:val="single" w:sz="4" w:space="0" w:color="auto"/>
              <w:bottom w:val="nil"/>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21,1</w:t>
            </w:r>
          </w:p>
        </w:tc>
        <w:tc>
          <w:tcPr>
            <w:tcW w:w="1062" w:type="dxa"/>
            <w:tcBorders>
              <w:top w:val="single" w:sz="6" w:space="0" w:color="auto"/>
              <w:left w:val="single" w:sz="4" w:space="0" w:color="auto"/>
              <w:bottom w:val="nil"/>
              <w:right w:val="single" w:sz="12"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20,5</w:t>
            </w:r>
          </w:p>
        </w:tc>
      </w:tr>
      <w:tr w:rsidR="00F76DC4" w:rsidRPr="00071923" w:rsidTr="008042B1">
        <w:trPr>
          <w:trHeight w:val="300"/>
        </w:trPr>
        <w:tc>
          <w:tcPr>
            <w:tcW w:w="4037" w:type="dxa"/>
            <w:tcBorders>
              <w:top w:val="nil"/>
              <w:left w:val="single" w:sz="12" w:space="0" w:color="auto"/>
              <w:bottom w:val="nil"/>
              <w:right w:val="single" w:sz="4" w:space="0" w:color="auto"/>
            </w:tcBorders>
            <w:shd w:val="clear" w:color="000000" w:fill="FFFFFF"/>
            <w:noWrap/>
            <w:vAlign w:val="center"/>
            <w:hideMark/>
          </w:tcPr>
          <w:p w:rsidR="00F76DC4" w:rsidRPr="00071923" w:rsidRDefault="00F76DC4" w:rsidP="008042B1">
            <w:pPr>
              <w:spacing w:after="0" w:line="240" w:lineRule="auto"/>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Program Tanımlı Gelirler</w:t>
            </w:r>
          </w:p>
        </w:tc>
        <w:tc>
          <w:tcPr>
            <w:tcW w:w="979" w:type="dxa"/>
            <w:tcBorders>
              <w:top w:val="nil"/>
              <w:left w:val="single" w:sz="4" w:space="0" w:color="auto"/>
              <w:bottom w:val="nil"/>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23,8</w:t>
            </w:r>
          </w:p>
        </w:tc>
        <w:tc>
          <w:tcPr>
            <w:tcW w:w="1085" w:type="dxa"/>
            <w:tcBorders>
              <w:top w:val="nil"/>
              <w:left w:val="single" w:sz="4" w:space="0" w:color="auto"/>
              <w:bottom w:val="nil"/>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23,1</w:t>
            </w:r>
          </w:p>
        </w:tc>
        <w:tc>
          <w:tcPr>
            <w:tcW w:w="992" w:type="dxa"/>
            <w:tcBorders>
              <w:top w:val="nil"/>
              <w:left w:val="single" w:sz="4" w:space="0" w:color="auto"/>
              <w:bottom w:val="nil"/>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22,6</w:t>
            </w:r>
          </w:p>
        </w:tc>
        <w:tc>
          <w:tcPr>
            <w:tcW w:w="992" w:type="dxa"/>
            <w:tcBorders>
              <w:top w:val="nil"/>
              <w:left w:val="single" w:sz="4" w:space="0" w:color="auto"/>
              <w:bottom w:val="nil"/>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22,4</w:t>
            </w:r>
          </w:p>
        </w:tc>
        <w:tc>
          <w:tcPr>
            <w:tcW w:w="1062" w:type="dxa"/>
            <w:tcBorders>
              <w:top w:val="nil"/>
              <w:left w:val="single" w:sz="4" w:space="0" w:color="auto"/>
              <w:bottom w:val="nil"/>
              <w:right w:val="single" w:sz="12"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22,2</w:t>
            </w:r>
          </w:p>
        </w:tc>
      </w:tr>
      <w:tr w:rsidR="00F76DC4" w:rsidRPr="00071923" w:rsidTr="008042B1">
        <w:trPr>
          <w:trHeight w:val="300"/>
        </w:trPr>
        <w:tc>
          <w:tcPr>
            <w:tcW w:w="4037" w:type="dxa"/>
            <w:tcBorders>
              <w:top w:val="nil"/>
              <w:left w:val="single" w:sz="12" w:space="0" w:color="auto"/>
              <w:bottom w:val="single" w:sz="12" w:space="0" w:color="auto"/>
              <w:right w:val="single" w:sz="4" w:space="0" w:color="auto"/>
            </w:tcBorders>
            <w:shd w:val="clear" w:color="000000" w:fill="FFFFFF"/>
            <w:noWrap/>
            <w:vAlign w:val="center"/>
            <w:hideMark/>
          </w:tcPr>
          <w:p w:rsidR="00F76DC4" w:rsidRPr="00071923" w:rsidRDefault="00F76DC4" w:rsidP="008042B1">
            <w:pPr>
              <w:spacing w:after="0" w:line="240" w:lineRule="auto"/>
              <w:rPr>
                <w:rFonts w:ascii="Arial" w:eastAsia="Times New Roman" w:hAnsi="Arial" w:cs="Arial"/>
                <w:b/>
                <w:bCs/>
                <w:sz w:val="18"/>
                <w:szCs w:val="18"/>
                <w:lang w:eastAsia="tr-TR"/>
              </w:rPr>
            </w:pPr>
            <w:r w:rsidRPr="00071923">
              <w:rPr>
                <w:rFonts w:ascii="Arial" w:eastAsia="Times New Roman" w:hAnsi="Arial" w:cs="Arial"/>
                <w:b/>
                <w:bCs/>
                <w:sz w:val="18"/>
                <w:szCs w:val="18"/>
                <w:lang w:eastAsia="tr-TR"/>
              </w:rPr>
              <w:t>Program Tanımlı Denge</w:t>
            </w:r>
          </w:p>
        </w:tc>
        <w:tc>
          <w:tcPr>
            <w:tcW w:w="979" w:type="dxa"/>
            <w:tcBorders>
              <w:top w:val="nil"/>
              <w:left w:val="single" w:sz="4" w:space="0" w:color="auto"/>
              <w:bottom w:val="single" w:sz="12" w:space="0" w:color="auto"/>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0,9</w:t>
            </w:r>
          </w:p>
        </w:tc>
        <w:tc>
          <w:tcPr>
            <w:tcW w:w="1085" w:type="dxa"/>
            <w:tcBorders>
              <w:top w:val="nil"/>
              <w:left w:val="single" w:sz="4" w:space="0" w:color="auto"/>
              <w:bottom w:val="single" w:sz="12" w:space="0" w:color="auto"/>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0,5</w:t>
            </w:r>
          </w:p>
        </w:tc>
        <w:tc>
          <w:tcPr>
            <w:tcW w:w="992" w:type="dxa"/>
            <w:tcBorders>
              <w:top w:val="nil"/>
              <w:left w:val="single" w:sz="4" w:space="0" w:color="auto"/>
              <w:bottom w:val="single" w:sz="12" w:space="0" w:color="auto"/>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1,1</w:t>
            </w:r>
          </w:p>
        </w:tc>
        <w:tc>
          <w:tcPr>
            <w:tcW w:w="992" w:type="dxa"/>
            <w:tcBorders>
              <w:top w:val="nil"/>
              <w:left w:val="single" w:sz="4" w:space="0" w:color="auto"/>
              <w:bottom w:val="single" w:sz="12" w:space="0" w:color="auto"/>
              <w:right w:val="single" w:sz="4"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1,3</w:t>
            </w:r>
          </w:p>
        </w:tc>
        <w:tc>
          <w:tcPr>
            <w:tcW w:w="1062" w:type="dxa"/>
            <w:tcBorders>
              <w:top w:val="nil"/>
              <w:left w:val="single" w:sz="4" w:space="0" w:color="auto"/>
              <w:bottom w:val="single" w:sz="12" w:space="0" w:color="auto"/>
              <w:right w:val="single" w:sz="12" w:space="0" w:color="auto"/>
            </w:tcBorders>
            <w:shd w:val="clear" w:color="000000" w:fill="FFFFFF"/>
            <w:noWrap/>
            <w:vAlign w:val="center"/>
          </w:tcPr>
          <w:p w:rsidR="00F76DC4" w:rsidRPr="00874462" w:rsidRDefault="00F76DC4" w:rsidP="008042B1">
            <w:pPr>
              <w:spacing w:after="0" w:line="240" w:lineRule="auto"/>
              <w:jc w:val="right"/>
              <w:rPr>
                <w:rFonts w:ascii="Arial" w:eastAsia="Times New Roman" w:hAnsi="Arial" w:cs="Arial"/>
                <w:b/>
                <w:bCs/>
                <w:sz w:val="18"/>
                <w:szCs w:val="18"/>
                <w:lang w:eastAsia="tr-TR"/>
              </w:rPr>
            </w:pPr>
            <w:r w:rsidRPr="00874462">
              <w:rPr>
                <w:rFonts w:ascii="Arial" w:eastAsia="Times New Roman" w:hAnsi="Arial" w:cs="Arial"/>
                <w:b/>
                <w:bCs/>
                <w:sz w:val="18"/>
                <w:szCs w:val="18"/>
                <w:lang w:eastAsia="tr-TR"/>
              </w:rPr>
              <w:t>1,7</w:t>
            </w:r>
          </w:p>
        </w:tc>
      </w:tr>
    </w:tbl>
    <w:p w:rsidR="00F76DC4" w:rsidRPr="00471C4A" w:rsidRDefault="00F76DC4" w:rsidP="00F76DC4">
      <w:pPr>
        <w:spacing w:after="0" w:line="240" w:lineRule="auto"/>
        <w:ind w:left="57"/>
        <w:rPr>
          <w:rFonts w:ascii="Arial" w:hAnsi="Arial" w:cs="Arial"/>
          <w:sz w:val="16"/>
          <w:szCs w:val="18"/>
        </w:rPr>
      </w:pPr>
      <w:r w:rsidRPr="00471C4A">
        <w:rPr>
          <w:rFonts w:ascii="Arial" w:hAnsi="Arial" w:cs="Arial"/>
          <w:sz w:val="16"/>
          <w:szCs w:val="18"/>
        </w:rPr>
        <w:t>GT: Gerçekleşme tahmini</w:t>
      </w:r>
    </w:p>
    <w:p w:rsidR="00F76DC4" w:rsidRPr="0004705C" w:rsidRDefault="00F76DC4" w:rsidP="00F76DC4">
      <w:pPr>
        <w:spacing w:after="0" w:line="240" w:lineRule="auto"/>
        <w:ind w:left="57"/>
        <w:rPr>
          <w:rFonts w:ascii="Arial" w:hAnsi="Arial" w:cs="Arial"/>
          <w:sz w:val="16"/>
          <w:szCs w:val="18"/>
        </w:rPr>
      </w:pPr>
      <w:r w:rsidRPr="00471C4A">
        <w:rPr>
          <w:rFonts w:ascii="Arial" w:hAnsi="Arial" w:cs="Arial"/>
          <w:sz w:val="16"/>
          <w:szCs w:val="18"/>
        </w:rPr>
        <w:t>P: Program</w:t>
      </w:r>
    </w:p>
    <w:p w:rsidR="00C82491" w:rsidRPr="00585E68" w:rsidRDefault="00C82491" w:rsidP="0010769B">
      <w:pPr>
        <w:tabs>
          <w:tab w:val="left" w:pos="567"/>
        </w:tabs>
        <w:spacing w:after="120" w:line="240" w:lineRule="auto"/>
        <w:rPr>
          <w:rFonts w:ascii="Arial" w:hAnsi="Arial" w:cs="Arial"/>
          <w:sz w:val="24"/>
          <w:szCs w:val="24"/>
        </w:rPr>
      </w:pPr>
    </w:p>
    <w:sectPr w:rsidR="00C82491" w:rsidRPr="00585E6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E7B" w:rsidRDefault="00473E7B" w:rsidP="00F305E7">
      <w:pPr>
        <w:spacing w:after="0" w:line="240" w:lineRule="auto"/>
      </w:pPr>
      <w:r>
        <w:separator/>
      </w:r>
    </w:p>
  </w:endnote>
  <w:endnote w:type="continuationSeparator" w:id="0">
    <w:p w:rsidR="00473E7B" w:rsidRDefault="00473E7B" w:rsidP="00F3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59" w:rsidRDefault="00D86959">
    <w:pPr>
      <w:pStyle w:val="Altbilgi"/>
      <w:jc w:val="right"/>
    </w:pPr>
    <w:r>
      <w:fldChar w:fldCharType="begin"/>
    </w:r>
    <w:r>
      <w:instrText>PAGE   \* MERGEFORMAT</w:instrText>
    </w:r>
    <w:r>
      <w:fldChar w:fldCharType="separate"/>
    </w:r>
    <w:r w:rsidR="00C15EA3">
      <w:rPr>
        <w:noProof/>
      </w:rPr>
      <w:t>3</w:t>
    </w:r>
    <w:r>
      <w:fldChar w:fldCharType="end"/>
    </w:r>
  </w:p>
  <w:p w:rsidR="00D86959" w:rsidRDefault="00D8695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E7B" w:rsidRDefault="00473E7B" w:rsidP="00F305E7">
      <w:pPr>
        <w:spacing w:after="0" w:line="240" w:lineRule="auto"/>
      </w:pPr>
      <w:r>
        <w:separator/>
      </w:r>
    </w:p>
  </w:footnote>
  <w:footnote w:type="continuationSeparator" w:id="0">
    <w:p w:rsidR="00473E7B" w:rsidRDefault="00473E7B" w:rsidP="00F305E7">
      <w:pPr>
        <w:spacing w:after="0" w:line="240" w:lineRule="auto"/>
      </w:pPr>
      <w:r>
        <w:continuationSeparator/>
      </w:r>
    </w:p>
  </w:footnote>
  <w:footnote w:id="1">
    <w:p w:rsidR="00D86959" w:rsidRDefault="00D86959" w:rsidP="00D01F04">
      <w:pPr>
        <w:pStyle w:val="DipnotMetni"/>
        <w:jc w:val="both"/>
      </w:pPr>
      <w:r>
        <w:rPr>
          <w:rStyle w:val="DipnotBavurusu"/>
        </w:rPr>
        <w:footnoteRef/>
      </w:r>
      <w:r>
        <w:t xml:space="preserve"> </w:t>
      </w:r>
      <w:r w:rsidRPr="00F60728">
        <w:rPr>
          <w:rFonts w:ascii="Arial" w:hAnsi="Arial" w:cs="Arial"/>
        </w:rPr>
        <w:t>Dünya ekonomisine ilişkin veriler Uluslararası Para Fonu (IMF) tarafından 2014 yılı</w:t>
      </w:r>
      <w:r>
        <w:rPr>
          <w:rFonts w:ascii="Arial" w:hAnsi="Arial" w:cs="Arial"/>
        </w:rPr>
        <w:t xml:space="preserve"> Nisan ve Ekim</w:t>
      </w:r>
      <w:r w:rsidRPr="00F60728">
        <w:rPr>
          <w:rFonts w:ascii="Arial" w:hAnsi="Arial" w:cs="Arial"/>
        </w:rPr>
        <w:t xml:space="preserve"> ayında açıklanan tahminlerdir.</w:t>
      </w:r>
    </w:p>
  </w:footnote>
  <w:footnote w:id="2">
    <w:p w:rsidR="00D86959" w:rsidRPr="0010769B" w:rsidRDefault="00D86959">
      <w:pPr>
        <w:pStyle w:val="DipnotMetni"/>
        <w:rPr>
          <w:rFonts w:ascii="Arial" w:hAnsi="Arial" w:cs="Arial"/>
        </w:rPr>
      </w:pPr>
      <w:r w:rsidRPr="0010769B">
        <w:rPr>
          <w:rStyle w:val="DipnotBavurusu"/>
          <w:rFonts w:ascii="Arial" w:hAnsi="Arial" w:cs="Arial"/>
        </w:rPr>
        <w:footnoteRef/>
      </w:r>
      <w:r w:rsidRPr="0010769B">
        <w:rPr>
          <w:rFonts w:ascii="Arial" w:hAnsi="Arial" w:cs="Arial"/>
        </w:rPr>
        <w:t xml:space="preserve"> Kalkınma Bakanlığı tarafından hesaplanmıştır.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04B3"/>
    <w:multiLevelType w:val="hybridMultilevel"/>
    <w:tmpl w:val="D456A358"/>
    <w:lvl w:ilvl="0" w:tplc="041F001B">
      <w:start w:val="1"/>
      <w:numFmt w:val="lowerRoman"/>
      <w:lvlText w:val="%1."/>
      <w:lvlJc w:val="right"/>
      <w:pPr>
        <w:ind w:left="360" w:hanging="360"/>
      </w:pPr>
      <w:rPr>
        <w:rFonts w:hint="default"/>
        <w:b w:val="0"/>
        <w:color w:val="auto"/>
        <w:sz w:val="22"/>
        <w:szCs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8251BB"/>
    <w:multiLevelType w:val="hybridMultilevel"/>
    <w:tmpl w:val="5F86016A"/>
    <w:lvl w:ilvl="0" w:tplc="FAC87600">
      <w:start w:val="230"/>
      <w:numFmt w:val="decimal"/>
      <w:lvlText w:val="%1."/>
      <w:lvlJc w:val="left"/>
      <w:pPr>
        <w:ind w:left="489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365760"/>
    <w:multiLevelType w:val="hybridMultilevel"/>
    <w:tmpl w:val="92E862A2"/>
    <w:lvl w:ilvl="0" w:tplc="041F001B">
      <w:start w:val="1"/>
      <w:numFmt w:val="lowerRoman"/>
      <w:lvlText w:val="%1."/>
      <w:lvlJc w:val="righ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57822BB"/>
    <w:multiLevelType w:val="hybridMultilevel"/>
    <w:tmpl w:val="24B8F0DC"/>
    <w:lvl w:ilvl="0" w:tplc="0409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B243975"/>
    <w:multiLevelType w:val="hybridMultilevel"/>
    <w:tmpl w:val="541401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2C4546F"/>
    <w:multiLevelType w:val="hybridMultilevel"/>
    <w:tmpl w:val="24B8F0DC"/>
    <w:lvl w:ilvl="0" w:tplc="0409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7032C9C"/>
    <w:multiLevelType w:val="hybridMultilevel"/>
    <w:tmpl w:val="0B086C72"/>
    <w:lvl w:ilvl="0" w:tplc="91027306">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EB97E34"/>
    <w:multiLevelType w:val="hybridMultilevel"/>
    <w:tmpl w:val="C81460B8"/>
    <w:lvl w:ilvl="0" w:tplc="FABA3388">
      <w:start w:val="1"/>
      <w:numFmt w:val="decimal"/>
      <w:lvlText w:val="%1."/>
      <w:lvlJc w:val="left"/>
      <w:pPr>
        <w:ind w:left="360" w:hanging="360"/>
      </w:pPr>
      <w:rPr>
        <w:rFonts w:ascii="Arial" w:hAnsi="Arial" w:cs="Arial"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FA47AF0"/>
    <w:multiLevelType w:val="hybridMultilevel"/>
    <w:tmpl w:val="E892D8E2"/>
    <w:lvl w:ilvl="0" w:tplc="041F0019">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FDB3EA6"/>
    <w:multiLevelType w:val="hybridMultilevel"/>
    <w:tmpl w:val="742AE2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3101B83"/>
    <w:multiLevelType w:val="hybridMultilevel"/>
    <w:tmpl w:val="39E2D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3C723A9"/>
    <w:multiLevelType w:val="hybridMultilevel"/>
    <w:tmpl w:val="DE5E4BEE"/>
    <w:lvl w:ilvl="0" w:tplc="1EE6D070">
      <w:start w:val="2002"/>
      <w:numFmt w:val="bullet"/>
      <w:lvlText w:val="-"/>
      <w:lvlJc w:val="left"/>
      <w:pPr>
        <w:ind w:left="927" w:hanging="360"/>
      </w:pPr>
      <w:rPr>
        <w:rFonts w:ascii="Arial" w:eastAsia="Times New Roman" w:hAnsi="Arial" w:cs="Aria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2">
    <w:nsid w:val="655257B8"/>
    <w:multiLevelType w:val="hybridMultilevel"/>
    <w:tmpl w:val="5DA85A42"/>
    <w:lvl w:ilvl="0" w:tplc="1B3E5D7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7561987"/>
    <w:multiLevelType w:val="hybridMultilevel"/>
    <w:tmpl w:val="AF921C0A"/>
    <w:lvl w:ilvl="0" w:tplc="199CC454">
      <w:start w:val="1"/>
      <w:numFmt w:val="lowerRoman"/>
      <w:lvlText w:val="%1."/>
      <w:lvlJc w:val="right"/>
      <w:pPr>
        <w:ind w:left="720" w:hanging="360"/>
      </w:pPr>
      <w:rPr>
        <w:rFonts w:cs="Times New Roman"/>
        <w:strike w:val="0"/>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6C234160"/>
    <w:multiLevelType w:val="hybridMultilevel"/>
    <w:tmpl w:val="5FFCAECA"/>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D715C61"/>
    <w:multiLevelType w:val="hybridMultilevel"/>
    <w:tmpl w:val="7A0244A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E3836CD"/>
    <w:multiLevelType w:val="hybridMultilevel"/>
    <w:tmpl w:val="5E22C1D8"/>
    <w:lvl w:ilvl="0" w:tplc="0CBCD96E">
      <w:start w:val="1"/>
      <w:numFmt w:val="decimal"/>
      <w:lvlText w:val="%1."/>
      <w:lvlJc w:val="left"/>
      <w:pPr>
        <w:ind w:left="644"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6740C8B"/>
    <w:multiLevelType w:val="hybridMultilevel"/>
    <w:tmpl w:val="C32AB9E8"/>
    <w:lvl w:ilvl="0" w:tplc="041F001B">
      <w:start w:val="1"/>
      <w:numFmt w:val="lowerRoman"/>
      <w:lvlText w:val="%1."/>
      <w:lvlJc w:val="righ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8">
    <w:nsid w:val="794C3C86"/>
    <w:multiLevelType w:val="hybridMultilevel"/>
    <w:tmpl w:val="269CA33C"/>
    <w:lvl w:ilvl="0" w:tplc="47A61B64">
      <w:start w:val="7"/>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796B60C4"/>
    <w:multiLevelType w:val="hybridMultilevel"/>
    <w:tmpl w:val="4044C092"/>
    <w:lvl w:ilvl="0" w:tplc="A832F9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A072C0D"/>
    <w:multiLevelType w:val="hybridMultilevel"/>
    <w:tmpl w:val="5C42AFF4"/>
    <w:lvl w:ilvl="0" w:tplc="041F001B">
      <w:start w:val="1"/>
      <w:numFmt w:val="lowerRoman"/>
      <w:lvlText w:val="%1."/>
      <w:lvlJc w:val="right"/>
      <w:pPr>
        <w:tabs>
          <w:tab w:val="num" w:pos="1043"/>
        </w:tabs>
        <w:ind w:left="1043" w:hanging="476"/>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nsid w:val="7E94545A"/>
    <w:multiLevelType w:val="hybridMultilevel"/>
    <w:tmpl w:val="B84CEE30"/>
    <w:lvl w:ilvl="0" w:tplc="243EC18C">
      <w:start w:val="1"/>
      <w:numFmt w:val="upperLetter"/>
      <w:lvlText w:val="%1."/>
      <w:lvlJc w:val="left"/>
      <w:pPr>
        <w:ind w:left="1919" w:hanging="360"/>
      </w:pPr>
      <w:rPr>
        <w:rFonts w:hint="default"/>
      </w:rPr>
    </w:lvl>
    <w:lvl w:ilvl="1" w:tplc="041F0019" w:tentative="1">
      <w:start w:val="1"/>
      <w:numFmt w:val="lowerLetter"/>
      <w:lvlText w:val="%2."/>
      <w:lvlJc w:val="left"/>
      <w:pPr>
        <w:ind w:left="2639" w:hanging="360"/>
      </w:pPr>
    </w:lvl>
    <w:lvl w:ilvl="2" w:tplc="041F001B" w:tentative="1">
      <w:start w:val="1"/>
      <w:numFmt w:val="lowerRoman"/>
      <w:lvlText w:val="%3."/>
      <w:lvlJc w:val="right"/>
      <w:pPr>
        <w:ind w:left="3359" w:hanging="180"/>
      </w:pPr>
    </w:lvl>
    <w:lvl w:ilvl="3" w:tplc="041F000F" w:tentative="1">
      <w:start w:val="1"/>
      <w:numFmt w:val="decimal"/>
      <w:lvlText w:val="%4."/>
      <w:lvlJc w:val="left"/>
      <w:pPr>
        <w:ind w:left="4079" w:hanging="360"/>
      </w:pPr>
    </w:lvl>
    <w:lvl w:ilvl="4" w:tplc="041F0019" w:tentative="1">
      <w:start w:val="1"/>
      <w:numFmt w:val="lowerLetter"/>
      <w:lvlText w:val="%5."/>
      <w:lvlJc w:val="left"/>
      <w:pPr>
        <w:ind w:left="4799" w:hanging="360"/>
      </w:pPr>
    </w:lvl>
    <w:lvl w:ilvl="5" w:tplc="041F001B" w:tentative="1">
      <w:start w:val="1"/>
      <w:numFmt w:val="lowerRoman"/>
      <w:lvlText w:val="%6."/>
      <w:lvlJc w:val="right"/>
      <w:pPr>
        <w:ind w:left="5519" w:hanging="180"/>
      </w:pPr>
    </w:lvl>
    <w:lvl w:ilvl="6" w:tplc="041F000F" w:tentative="1">
      <w:start w:val="1"/>
      <w:numFmt w:val="decimal"/>
      <w:lvlText w:val="%7."/>
      <w:lvlJc w:val="left"/>
      <w:pPr>
        <w:ind w:left="6239" w:hanging="360"/>
      </w:pPr>
    </w:lvl>
    <w:lvl w:ilvl="7" w:tplc="041F0019" w:tentative="1">
      <w:start w:val="1"/>
      <w:numFmt w:val="lowerLetter"/>
      <w:lvlText w:val="%8."/>
      <w:lvlJc w:val="left"/>
      <w:pPr>
        <w:ind w:left="6959" w:hanging="360"/>
      </w:pPr>
    </w:lvl>
    <w:lvl w:ilvl="8" w:tplc="041F001B" w:tentative="1">
      <w:start w:val="1"/>
      <w:numFmt w:val="lowerRoman"/>
      <w:lvlText w:val="%9."/>
      <w:lvlJc w:val="right"/>
      <w:pPr>
        <w:ind w:left="7679" w:hanging="180"/>
      </w:pPr>
    </w:lvl>
  </w:abstractNum>
  <w:num w:numId="1">
    <w:abstractNumId w:val="16"/>
  </w:num>
  <w:num w:numId="2">
    <w:abstractNumId w:val="11"/>
  </w:num>
  <w:num w:numId="3">
    <w:abstractNumId w:val="15"/>
  </w:num>
  <w:num w:numId="4">
    <w:abstractNumId w:val="12"/>
  </w:num>
  <w:num w:numId="5">
    <w:abstractNumId w:val="21"/>
  </w:num>
  <w:num w:numId="6">
    <w:abstractNumId w:val="10"/>
  </w:num>
  <w:num w:numId="7">
    <w:abstractNumId w:val="6"/>
  </w:num>
  <w:num w:numId="8">
    <w:abstractNumId w:val="17"/>
  </w:num>
  <w:num w:numId="9">
    <w:abstractNumId w:val="1"/>
  </w:num>
  <w:num w:numId="10">
    <w:abstractNumId w:val="9"/>
  </w:num>
  <w:num w:numId="11">
    <w:abstractNumId w:val="4"/>
  </w:num>
  <w:num w:numId="12">
    <w:abstractNumId w:val="18"/>
  </w:num>
  <w:num w:numId="13">
    <w:abstractNumId w:val="16"/>
  </w:num>
  <w:num w:numId="14">
    <w:abstractNumId w:val="2"/>
  </w:num>
  <w:num w:numId="15">
    <w:abstractNumId w:val="0"/>
  </w:num>
  <w:num w:numId="16">
    <w:abstractNumId w:val="3"/>
  </w:num>
  <w:num w:numId="17">
    <w:abstractNumId w:val="13"/>
  </w:num>
  <w:num w:numId="18">
    <w:abstractNumId w:val="8"/>
  </w:num>
  <w:num w:numId="19">
    <w:abstractNumId w:val="14"/>
  </w:num>
  <w:num w:numId="20">
    <w:abstractNumId w:val="20"/>
  </w:num>
  <w:num w:numId="21">
    <w:abstractNumId w:val="5"/>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425"/>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B6"/>
    <w:rsid w:val="000011F9"/>
    <w:rsid w:val="000027F0"/>
    <w:rsid w:val="000116FE"/>
    <w:rsid w:val="0001279E"/>
    <w:rsid w:val="00014D9B"/>
    <w:rsid w:val="0001533F"/>
    <w:rsid w:val="00015543"/>
    <w:rsid w:val="000156F7"/>
    <w:rsid w:val="000177FA"/>
    <w:rsid w:val="000200C6"/>
    <w:rsid w:val="00025F12"/>
    <w:rsid w:val="00027136"/>
    <w:rsid w:val="0003196C"/>
    <w:rsid w:val="00031F65"/>
    <w:rsid w:val="00032574"/>
    <w:rsid w:val="00034484"/>
    <w:rsid w:val="000353C7"/>
    <w:rsid w:val="000354DF"/>
    <w:rsid w:val="00043552"/>
    <w:rsid w:val="0004502B"/>
    <w:rsid w:val="00050A65"/>
    <w:rsid w:val="00051B95"/>
    <w:rsid w:val="00057F92"/>
    <w:rsid w:val="000603D1"/>
    <w:rsid w:val="00065058"/>
    <w:rsid w:val="00067630"/>
    <w:rsid w:val="00071024"/>
    <w:rsid w:val="00071F8A"/>
    <w:rsid w:val="00077F09"/>
    <w:rsid w:val="00082B11"/>
    <w:rsid w:val="0009644D"/>
    <w:rsid w:val="000A69E2"/>
    <w:rsid w:val="000A7760"/>
    <w:rsid w:val="000B44AA"/>
    <w:rsid w:val="000B4B8E"/>
    <w:rsid w:val="000B53CD"/>
    <w:rsid w:val="000B5882"/>
    <w:rsid w:val="000C130A"/>
    <w:rsid w:val="000C3358"/>
    <w:rsid w:val="000C4809"/>
    <w:rsid w:val="000C719E"/>
    <w:rsid w:val="000C7986"/>
    <w:rsid w:val="000D1047"/>
    <w:rsid w:val="000E14F9"/>
    <w:rsid w:val="000E1E11"/>
    <w:rsid w:val="000E2074"/>
    <w:rsid w:val="000E3531"/>
    <w:rsid w:val="000E4E1D"/>
    <w:rsid w:val="000F05AB"/>
    <w:rsid w:val="000F35F6"/>
    <w:rsid w:val="001014A9"/>
    <w:rsid w:val="0010769B"/>
    <w:rsid w:val="0011383C"/>
    <w:rsid w:val="0011725E"/>
    <w:rsid w:val="00117739"/>
    <w:rsid w:val="00120EAD"/>
    <w:rsid w:val="00120FBE"/>
    <w:rsid w:val="00122EDD"/>
    <w:rsid w:val="001238DC"/>
    <w:rsid w:val="00125CCC"/>
    <w:rsid w:val="00130A8D"/>
    <w:rsid w:val="001324F7"/>
    <w:rsid w:val="0013310B"/>
    <w:rsid w:val="0013592A"/>
    <w:rsid w:val="001361D2"/>
    <w:rsid w:val="00141CBE"/>
    <w:rsid w:val="00145398"/>
    <w:rsid w:val="00155141"/>
    <w:rsid w:val="0016579D"/>
    <w:rsid w:val="0017368A"/>
    <w:rsid w:val="0018045F"/>
    <w:rsid w:val="00184BFB"/>
    <w:rsid w:val="001932B1"/>
    <w:rsid w:val="001953DE"/>
    <w:rsid w:val="00197309"/>
    <w:rsid w:val="001A0124"/>
    <w:rsid w:val="001A16D1"/>
    <w:rsid w:val="001A3FB3"/>
    <w:rsid w:val="001A5799"/>
    <w:rsid w:val="001A6CD0"/>
    <w:rsid w:val="001A73B8"/>
    <w:rsid w:val="001B22F9"/>
    <w:rsid w:val="001B5B81"/>
    <w:rsid w:val="001C054A"/>
    <w:rsid w:val="001D1F0E"/>
    <w:rsid w:val="001D665C"/>
    <w:rsid w:val="001D699B"/>
    <w:rsid w:val="001E0CA6"/>
    <w:rsid w:val="001F3876"/>
    <w:rsid w:val="001F6755"/>
    <w:rsid w:val="00200771"/>
    <w:rsid w:val="00203E6B"/>
    <w:rsid w:val="00205C5C"/>
    <w:rsid w:val="0021174F"/>
    <w:rsid w:val="00211F9B"/>
    <w:rsid w:val="002157BA"/>
    <w:rsid w:val="00231AD8"/>
    <w:rsid w:val="00240F4C"/>
    <w:rsid w:val="002479DB"/>
    <w:rsid w:val="00251600"/>
    <w:rsid w:val="002541DB"/>
    <w:rsid w:val="00256564"/>
    <w:rsid w:val="00257408"/>
    <w:rsid w:val="00257E6B"/>
    <w:rsid w:val="00260B22"/>
    <w:rsid w:val="0026163C"/>
    <w:rsid w:val="0026347F"/>
    <w:rsid w:val="00264D1D"/>
    <w:rsid w:val="00266B13"/>
    <w:rsid w:val="00272B3B"/>
    <w:rsid w:val="00280614"/>
    <w:rsid w:val="00281088"/>
    <w:rsid w:val="0028795F"/>
    <w:rsid w:val="002929CC"/>
    <w:rsid w:val="002A41A8"/>
    <w:rsid w:val="002B291E"/>
    <w:rsid w:val="002B6565"/>
    <w:rsid w:val="002C22B8"/>
    <w:rsid w:val="002D503A"/>
    <w:rsid w:val="002D51CE"/>
    <w:rsid w:val="002E133B"/>
    <w:rsid w:val="002E54C6"/>
    <w:rsid w:val="002F1308"/>
    <w:rsid w:val="002F2EFD"/>
    <w:rsid w:val="002F4097"/>
    <w:rsid w:val="002F5ACF"/>
    <w:rsid w:val="002F7849"/>
    <w:rsid w:val="003052BF"/>
    <w:rsid w:val="00305490"/>
    <w:rsid w:val="0031012F"/>
    <w:rsid w:val="00311D98"/>
    <w:rsid w:val="00312BE8"/>
    <w:rsid w:val="00312D61"/>
    <w:rsid w:val="00315FBE"/>
    <w:rsid w:val="00317C36"/>
    <w:rsid w:val="003223E9"/>
    <w:rsid w:val="0032429F"/>
    <w:rsid w:val="0032787D"/>
    <w:rsid w:val="003319AA"/>
    <w:rsid w:val="00332404"/>
    <w:rsid w:val="00332C65"/>
    <w:rsid w:val="003357F5"/>
    <w:rsid w:val="0033678B"/>
    <w:rsid w:val="00337D7D"/>
    <w:rsid w:val="0034379A"/>
    <w:rsid w:val="00346AFE"/>
    <w:rsid w:val="00347277"/>
    <w:rsid w:val="003502ED"/>
    <w:rsid w:val="00351AC3"/>
    <w:rsid w:val="00353656"/>
    <w:rsid w:val="00354DFE"/>
    <w:rsid w:val="00367A33"/>
    <w:rsid w:val="00373B14"/>
    <w:rsid w:val="00381886"/>
    <w:rsid w:val="00383897"/>
    <w:rsid w:val="00383D25"/>
    <w:rsid w:val="003859D1"/>
    <w:rsid w:val="00387DBE"/>
    <w:rsid w:val="00390584"/>
    <w:rsid w:val="00395995"/>
    <w:rsid w:val="00396823"/>
    <w:rsid w:val="003A2FF5"/>
    <w:rsid w:val="003A3435"/>
    <w:rsid w:val="003A4F62"/>
    <w:rsid w:val="003A5416"/>
    <w:rsid w:val="003B0614"/>
    <w:rsid w:val="003B579F"/>
    <w:rsid w:val="003C1045"/>
    <w:rsid w:val="003C1884"/>
    <w:rsid w:val="003C2C6C"/>
    <w:rsid w:val="003C3742"/>
    <w:rsid w:val="003C6558"/>
    <w:rsid w:val="003C6600"/>
    <w:rsid w:val="003C6EB6"/>
    <w:rsid w:val="003C7434"/>
    <w:rsid w:val="003D2B5B"/>
    <w:rsid w:val="003D2C4D"/>
    <w:rsid w:val="003D64B0"/>
    <w:rsid w:val="003E2AEA"/>
    <w:rsid w:val="003E439B"/>
    <w:rsid w:val="003E69E9"/>
    <w:rsid w:val="003E76DB"/>
    <w:rsid w:val="003F54C0"/>
    <w:rsid w:val="003F7D65"/>
    <w:rsid w:val="0040255F"/>
    <w:rsid w:val="00404361"/>
    <w:rsid w:val="004108C2"/>
    <w:rsid w:val="00413045"/>
    <w:rsid w:val="004138FE"/>
    <w:rsid w:val="004141E3"/>
    <w:rsid w:val="00417E0F"/>
    <w:rsid w:val="00420F49"/>
    <w:rsid w:val="00422B68"/>
    <w:rsid w:val="004345C1"/>
    <w:rsid w:val="00435614"/>
    <w:rsid w:val="00437E78"/>
    <w:rsid w:val="00440095"/>
    <w:rsid w:val="00442A5C"/>
    <w:rsid w:val="00442FE8"/>
    <w:rsid w:val="00446C56"/>
    <w:rsid w:val="00454CE1"/>
    <w:rsid w:val="00454F31"/>
    <w:rsid w:val="0045643C"/>
    <w:rsid w:val="00457F78"/>
    <w:rsid w:val="00460C56"/>
    <w:rsid w:val="0046354C"/>
    <w:rsid w:val="004647B5"/>
    <w:rsid w:val="00465E5B"/>
    <w:rsid w:val="00466CBD"/>
    <w:rsid w:val="00473E7B"/>
    <w:rsid w:val="00474587"/>
    <w:rsid w:val="00474FDA"/>
    <w:rsid w:val="00476DFD"/>
    <w:rsid w:val="00480650"/>
    <w:rsid w:val="004815D0"/>
    <w:rsid w:val="00482C21"/>
    <w:rsid w:val="00483046"/>
    <w:rsid w:val="00485CF9"/>
    <w:rsid w:val="00485EB1"/>
    <w:rsid w:val="00490D43"/>
    <w:rsid w:val="00491024"/>
    <w:rsid w:val="004936CB"/>
    <w:rsid w:val="0049388F"/>
    <w:rsid w:val="00494B11"/>
    <w:rsid w:val="004A0C21"/>
    <w:rsid w:val="004A52FF"/>
    <w:rsid w:val="004B2E45"/>
    <w:rsid w:val="004C140A"/>
    <w:rsid w:val="004C4CFA"/>
    <w:rsid w:val="004C52C6"/>
    <w:rsid w:val="004C7F4D"/>
    <w:rsid w:val="004E0AEB"/>
    <w:rsid w:val="004E0BC3"/>
    <w:rsid w:val="004E0DE7"/>
    <w:rsid w:val="004F6D73"/>
    <w:rsid w:val="0050125F"/>
    <w:rsid w:val="00502311"/>
    <w:rsid w:val="00502945"/>
    <w:rsid w:val="00507EB8"/>
    <w:rsid w:val="00510C9E"/>
    <w:rsid w:val="00515E74"/>
    <w:rsid w:val="00516BEA"/>
    <w:rsid w:val="00520924"/>
    <w:rsid w:val="005218EF"/>
    <w:rsid w:val="00524BA3"/>
    <w:rsid w:val="005316EA"/>
    <w:rsid w:val="00533760"/>
    <w:rsid w:val="00535013"/>
    <w:rsid w:val="00536104"/>
    <w:rsid w:val="00536F2F"/>
    <w:rsid w:val="00547DD9"/>
    <w:rsid w:val="00550833"/>
    <w:rsid w:val="00552290"/>
    <w:rsid w:val="00555530"/>
    <w:rsid w:val="00555E80"/>
    <w:rsid w:val="00565333"/>
    <w:rsid w:val="005654FE"/>
    <w:rsid w:val="00566AB4"/>
    <w:rsid w:val="005678D1"/>
    <w:rsid w:val="0057051A"/>
    <w:rsid w:val="00572477"/>
    <w:rsid w:val="005726EF"/>
    <w:rsid w:val="005776AD"/>
    <w:rsid w:val="00577904"/>
    <w:rsid w:val="00585E68"/>
    <w:rsid w:val="00586693"/>
    <w:rsid w:val="00591460"/>
    <w:rsid w:val="005971A9"/>
    <w:rsid w:val="005A2CDE"/>
    <w:rsid w:val="005B113E"/>
    <w:rsid w:val="005B1E2D"/>
    <w:rsid w:val="005B22FF"/>
    <w:rsid w:val="005B45CC"/>
    <w:rsid w:val="005B5AB5"/>
    <w:rsid w:val="005B610E"/>
    <w:rsid w:val="005B6159"/>
    <w:rsid w:val="005B7C3E"/>
    <w:rsid w:val="005D03F9"/>
    <w:rsid w:val="005D762D"/>
    <w:rsid w:val="005E0C34"/>
    <w:rsid w:val="005E2592"/>
    <w:rsid w:val="005E50BB"/>
    <w:rsid w:val="005F0407"/>
    <w:rsid w:val="005F483B"/>
    <w:rsid w:val="005F557B"/>
    <w:rsid w:val="005F7848"/>
    <w:rsid w:val="005F7CA8"/>
    <w:rsid w:val="00600451"/>
    <w:rsid w:val="00604949"/>
    <w:rsid w:val="00606306"/>
    <w:rsid w:val="00606C0A"/>
    <w:rsid w:val="00607A6B"/>
    <w:rsid w:val="006114B2"/>
    <w:rsid w:val="00612355"/>
    <w:rsid w:val="0061358E"/>
    <w:rsid w:val="0061561C"/>
    <w:rsid w:val="00620514"/>
    <w:rsid w:val="006218BC"/>
    <w:rsid w:val="00627024"/>
    <w:rsid w:val="00631687"/>
    <w:rsid w:val="00633E39"/>
    <w:rsid w:val="006349FA"/>
    <w:rsid w:val="00636F46"/>
    <w:rsid w:val="0063742B"/>
    <w:rsid w:val="006434A1"/>
    <w:rsid w:val="0064764F"/>
    <w:rsid w:val="006476A2"/>
    <w:rsid w:val="00653B1C"/>
    <w:rsid w:val="00653FB6"/>
    <w:rsid w:val="006576ED"/>
    <w:rsid w:val="00660128"/>
    <w:rsid w:val="006671D2"/>
    <w:rsid w:val="00670F34"/>
    <w:rsid w:val="00674828"/>
    <w:rsid w:val="0067500B"/>
    <w:rsid w:val="00677442"/>
    <w:rsid w:val="00683B72"/>
    <w:rsid w:val="00686DD7"/>
    <w:rsid w:val="006948E9"/>
    <w:rsid w:val="00694A27"/>
    <w:rsid w:val="00694E7E"/>
    <w:rsid w:val="00696144"/>
    <w:rsid w:val="006A0265"/>
    <w:rsid w:val="006A1104"/>
    <w:rsid w:val="006B0AD6"/>
    <w:rsid w:val="006B1314"/>
    <w:rsid w:val="006B1E1E"/>
    <w:rsid w:val="006B61A5"/>
    <w:rsid w:val="006B799C"/>
    <w:rsid w:val="006C16FE"/>
    <w:rsid w:val="006C496A"/>
    <w:rsid w:val="006C57D2"/>
    <w:rsid w:val="006C5B1A"/>
    <w:rsid w:val="006C7561"/>
    <w:rsid w:val="006C7969"/>
    <w:rsid w:val="006D1801"/>
    <w:rsid w:val="006D2985"/>
    <w:rsid w:val="006D3A13"/>
    <w:rsid w:val="006D4327"/>
    <w:rsid w:val="006D58BC"/>
    <w:rsid w:val="006F19DD"/>
    <w:rsid w:val="006F5CF7"/>
    <w:rsid w:val="006F60CE"/>
    <w:rsid w:val="00701A91"/>
    <w:rsid w:val="00703CF4"/>
    <w:rsid w:val="00705C52"/>
    <w:rsid w:val="00706A6C"/>
    <w:rsid w:val="00712313"/>
    <w:rsid w:val="00714609"/>
    <w:rsid w:val="007220CB"/>
    <w:rsid w:val="00725A35"/>
    <w:rsid w:val="00731629"/>
    <w:rsid w:val="00731DC0"/>
    <w:rsid w:val="00736E28"/>
    <w:rsid w:val="00740B9D"/>
    <w:rsid w:val="007416FC"/>
    <w:rsid w:val="007438DD"/>
    <w:rsid w:val="007444C4"/>
    <w:rsid w:val="00745D0E"/>
    <w:rsid w:val="00756411"/>
    <w:rsid w:val="00756E1D"/>
    <w:rsid w:val="007667F9"/>
    <w:rsid w:val="00774016"/>
    <w:rsid w:val="007810DF"/>
    <w:rsid w:val="0078161E"/>
    <w:rsid w:val="00782558"/>
    <w:rsid w:val="007833C2"/>
    <w:rsid w:val="00783D79"/>
    <w:rsid w:val="00787BC9"/>
    <w:rsid w:val="00792044"/>
    <w:rsid w:val="00793D37"/>
    <w:rsid w:val="0079557E"/>
    <w:rsid w:val="007958B8"/>
    <w:rsid w:val="007A320B"/>
    <w:rsid w:val="007A47EA"/>
    <w:rsid w:val="007A5693"/>
    <w:rsid w:val="007B5CDB"/>
    <w:rsid w:val="007B6976"/>
    <w:rsid w:val="007C2953"/>
    <w:rsid w:val="007C31A5"/>
    <w:rsid w:val="007D1388"/>
    <w:rsid w:val="007D50C1"/>
    <w:rsid w:val="007D699F"/>
    <w:rsid w:val="007D7E3E"/>
    <w:rsid w:val="007E3037"/>
    <w:rsid w:val="007F076E"/>
    <w:rsid w:val="007F467D"/>
    <w:rsid w:val="007F5144"/>
    <w:rsid w:val="007F65C7"/>
    <w:rsid w:val="00801A69"/>
    <w:rsid w:val="0080259F"/>
    <w:rsid w:val="008031F7"/>
    <w:rsid w:val="008041D5"/>
    <w:rsid w:val="0080502C"/>
    <w:rsid w:val="008115C0"/>
    <w:rsid w:val="0081342B"/>
    <w:rsid w:val="00814BB9"/>
    <w:rsid w:val="0081768E"/>
    <w:rsid w:val="00821553"/>
    <w:rsid w:val="00823E3C"/>
    <w:rsid w:val="00824254"/>
    <w:rsid w:val="00824569"/>
    <w:rsid w:val="008315A1"/>
    <w:rsid w:val="0083370F"/>
    <w:rsid w:val="00834BCA"/>
    <w:rsid w:val="008410DD"/>
    <w:rsid w:val="008435D4"/>
    <w:rsid w:val="00843655"/>
    <w:rsid w:val="00853B37"/>
    <w:rsid w:val="00853C36"/>
    <w:rsid w:val="00853E19"/>
    <w:rsid w:val="00856209"/>
    <w:rsid w:val="00856C62"/>
    <w:rsid w:val="00862431"/>
    <w:rsid w:val="008635C3"/>
    <w:rsid w:val="0086529D"/>
    <w:rsid w:val="0087141C"/>
    <w:rsid w:val="00871A3E"/>
    <w:rsid w:val="0087602F"/>
    <w:rsid w:val="0087799F"/>
    <w:rsid w:val="00880FDF"/>
    <w:rsid w:val="00881845"/>
    <w:rsid w:val="00886A32"/>
    <w:rsid w:val="00892B11"/>
    <w:rsid w:val="00892DB6"/>
    <w:rsid w:val="00894835"/>
    <w:rsid w:val="0089618F"/>
    <w:rsid w:val="008A048E"/>
    <w:rsid w:val="008A1C0C"/>
    <w:rsid w:val="008A440B"/>
    <w:rsid w:val="008A5066"/>
    <w:rsid w:val="008B1873"/>
    <w:rsid w:val="008B5D2C"/>
    <w:rsid w:val="008C2149"/>
    <w:rsid w:val="008C3C3C"/>
    <w:rsid w:val="008D78CE"/>
    <w:rsid w:val="008E205A"/>
    <w:rsid w:val="008E2A27"/>
    <w:rsid w:val="008E4443"/>
    <w:rsid w:val="008E496E"/>
    <w:rsid w:val="008E6992"/>
    <w:rsid w:val="008E6C63"/>
    <w:rsid w:val="008F01A3"/>
    <w:rsid w:val="008F7E97"/>
    <w:rsid w:val="00900EC6"/>
    <w:rsid w:val="00902655"/>
    <w:rsid w:val="009026D3"/>
    <w:rsid w:val="009031DB"/>
    <w:rsid w:val="00905596"/>
    <w:rsid w:val="009069D5"/>
    <w:rsid w:val="00910BC7"/>
    <w:rsid w:val="00934558"/>
    <w:rsid w:val="0093625B"/>
    <w:rsid w:val="009366B3"/>
    <w:rsid w:val="00942B8E"/>
    <w:rsid w:val="00944C33"/>
    <w:rsid w:val="00945016"/>
    <w:rsid w:val="00945757"/>
    <w:rsid w:val="00946D31"/>
    <w:rsid w:val="00947306"/>
    <w:rsid w:val="00954A03"/>
    <w:rsid w:val="00956085"/>
    <w:rsid w:val="009569E2"/>
    <w:rsid w:val="009625C1"/>
    <w:rsid w:val="0096498C"/>
    <w:rsid w:val="009666B8"/>
    <w:rsid w:val="00966733"/>
    <w:rsid w:val="009671EC"/>
    <w:rsid w:val="0097639C"/>
    <w:rsid w:val="00981038"/>
    <w:rsid w:val="00985240"/>
    <w:rsid w:val="00992BB4"/>
    <w:rsid w:val="009935E3"/>
    <w:rsid w:val="00994C77"/>
    <w:rsid w:val="009950AD"/>
    <w:rsid w:val="00997918"/>
    <w:rsid w:val="00997A51"/>
    <w:rsid w:val="009A0356"/>
    <w:rsid w:val="009A2397"/>
    <w:rsid w:val="009A41C9"/>
    <w:rsid w:val="009A7990"/>
    <w:rsid w:val="009B1211"/>
    <w:rsid w:val="009C1E09"/>
    <w:rsid w:val="009C29CA"/>
    <w:rsid w:val="009C426C"/>
    <w:rsid w:val="009C459E"/>
    <w:rsid w:val="009D1272"/>
    <w:rsid w:val="009D1F9C"/>
    <w:rsid w:val="009D4BC6"/>
    <w:rsid w:val="009D7280"/>
    <w:rsid w:val="009F2E04"/>
    <w:rsid w:val="009F4D76"/>
    <w:rsid w:val="00A00957"/>
    <w:rsid w:val="00A030BE"/>
    <w:rsid w:val="00A04A5D"/>
    <w:rsid w:val="00A056B0"/>
    <w:rsid w:val="00A05808"/>
    <w:rsid w:val="00A05E4A"/>
    <w:rsid w:val="00A06149"/>
    <w:rsid w:val="00A06643"/>
    <w:rsid w:val="00A1072A"/>
    <w:rsid w:val="00A1118F"/>
    <w:rsid w:val="00A11B76"/>
    <w:rsid w:val="00A1305C"/>
    <w:rsid w:val="00A21C5E"/>
    <w:rsid w:val="00A22AD0"/>
    <w:rsid w:val="00A272A0"/>
    <w:rsid w:val="00A36A8E"/>
    <w:rsid w:val="00A37DAB"/>
    <w:rsid w:val="00A4133B"/>
    <w:rsid w:val="00A44210"/>
    <w:rsid w:val="00A45490"/>
    <w:rsid w:val="00A5272F"/>
    <w:rsid w:val="00A52898"/>
    <w:rsid w:val="00A53F66"/>
    <w:rsid w:val="00A55EFD"/>
    <w:rsid w:val="00A61229"/>
    <w:rsid w:val="00A63ED0"/>
    <w:rsid w:val="00A679DC"/>
    <w:rsid w:val="00A70A7D"/>
    <w:rsid w:val="00A75BCC"/>
    <w:rsid w:val="00A85687"/>
    <w:rsid w:val="00A8627D"/>
    <w:rsid w:val="00A9343F"/>
    <w:rsid w:val="00A95533"/>
    <w:rsid w:val="00A96708"/>
    <w:rsid w:val="00A97ABF"/>
    <w:rsid w:val="00AA05C5"/>
    <w:rsid w:val="00AA20E0"/>
    <w:rsid w:val="00AA59AC"/>
    <w:rsid w:val="00AA5B1E"/>
    <w:rsid w:val="00AA5E71"/>
    <w:rsid w:val="00AB2270"/>
    <w:rsid w:val="00AB27A0"/>
    <w:rsid w:val="00AC5635"/>
    <w:rsid w:val="00AC6B2B"/>
    <w:rsid w:val="00AD16DB"/>
    <w:rsid w:val="00AD17D2"/>
    <w:rsid w:val="00AE0CC7"/>
    <w:rsid w:val="00AF2A99"/>
    <w:rsid w:val="00AF7543"/>
    <w:rsid w:val="00AF7690"/>
    <w:rsid w:val="00B00237"/>
    <w:rsid w:val="00B05CC8"/>
    <w:rsid w:val="00B05D01"/>
    <w:rsid w:val="00B063E6"/>
    <w:rsid w:val="00B1005B"/>
    <w:rsid w:val="00B13884"/>
    <w:rsid w:val="00B1418A"/>
    <w:rsid w:val="00B155E1"/>
    <w:rsid w:val="00B15E57"/>
    <w:rsid w:val="00B1621E"/>
    <w:rsid w:val="00B20589"/>
    <w:rsid w:val="00B2060A"/>
    <w:rsid w:val="00B264C1"/>
    <w:rsid w:val="00B278BF"/>
    <w:rsid w:val="00B279D4"/>
    <w:rsid w:val="00B31F90"/>
    <w:rsid w:val="00B342CB"/>
    <w:rsid w:val="00B3628D"/>
    <w:rsid w:val="00B400B0"/>
    <w:rsid w:val="00B41FCB"/>
    <w:rsid w:val="00B46357"/>
    <w:rsid w:val="00B513A1"/>
    <w:rsid w:val="00B52CA7"/>
    <w:rsid w:val="00B54638"/>
    <w:rsid w:val="00B63411"/>
    <w:rsid w:val="00B6746E"/>
    <w:rsid w:val="00B77648"/>
    <w:rsid w:val="00B85415"/>
    <w:rsid w:val="00B86D08"/>
    <w:rsid w:val="00B92D8C"/>
    <w:rsid w:val="00B957C7"/>
    <w:rsid w:val="00B95E46"/>
    <w:rsid w:val="00B969F0"/>
    <w:rsid w:val="00BA1E93"/>
    <w:rsid w:val="00BA2780"/>
    <w:rsid w:val="00BA4237"/>
    <w:rsid w:val="00BA6C0F"/>
    <w:rsid w:val="00BA785A"/>
    <w:rsid w:val="00BB1563"/>
    <w:rsid w:val="00BB5C21"/>
    <w:rsid w:val="00BB790F"/>
    <w:rsid w:val="00BC7B12"/>
    <w:rsid w:val="00BD7768"/>
    <w:rsid w:val="00BE360D"/>
    <w:rsid w:val="00BE3E18"/>
    <w:rsid w:val="00BE458B"/>
    <w:rsid w:val="00BE6F43"/>
    <w:rsid w:val="00BF0027"/>
    <w:rsid w:val="00BF123B"/>
    <w:rsid w:val="00BF3339"/>
    <w:rsid w:val="00BF542F"/>
    <w:rsid w:val="00C0324B"/>
    <w:rsid w:val="00C04C45"/>
    <w:rsid w:val="00C11148"/>
    <w:rsid w:val="00C15EA3"/>
    <w:rsid w:val="00C16179"/>
    <w:rsid w:val="00C2246A"/>
    <w:rsid w:val="00C3689F"/>
    <w:rsid w:val="00C406FB"/>
    <w:rsid w:val="00C40921"/>
    <w:rsid w:val="00C40A75"/>
    <w:rsid w:val="00C40D2B"/>
    <w:rsid w:val="00C40E48"/>
    <w:rsid w:val="00C50ECC"/>
    <w:rsid w:val="00C513CE"/>
    <w:rsid w:val="00C52675"/>
    <w:rsid w:val="00C52D5A"/>
    <w:rsid w:val="00C60192"/>
    <w:rsid w:val="00C611B2"/>
    <w:rsid w:val="00C66BA6"/>
    <w:rsid w:val="00C67F72"/>
    <w:rsid w:val="00C74EBF"/>
    <w:rsid w:val="00C76147"/>
    <w:rsid w:val="00C812C2"/>
    <w:rsid w:val="00C82491"/>
    <w:rsid w:val="00C87651"/>
    <w:rsid w:val="00C902B2"/>
    <w:rsid w:val="00C91C44"/>
    <w:rsid w:val="00C920E2"/>
    <w:rsid w:val="00C926F8"/>
    <w:rsid w:val="00C945E3"/>
    <w:rsid w:val="00C95B5D"/>
    <w:rsid w:val="00CA0931"/>
    <w:rsid w:val="00CA1AE5"/>
    <w:rsid w:val="00CA298A"/>
    <w:rsid w:val="00CA3537"/>
    <w:rsid w:val="00CB3159"/>
    <w:rsid w:val="00CB4103"/>
    <w:rsid w:val="00CB5ABF"/>
    <w:rsid w:val="00CD2462"/>
    <w:rsid w:val="00CD3556"/>
    <w:rsid w:val="00CD448B"/>
    <w:rsid w:val="00CD5853"/>
    <w:rsid w:val="00CE18D0"/>
    <w:rsid w:val="00CE2227"/>
    <w:rsid w:val="00CE27A4"/>
    <w:rsid w:val="00CE2F2A"/>
    <w:rsid w:val="00CE63D3"/>
    <w:rsid w:val="00CE659C"/>
    <w:rsid w:val="00CF3188"/>
    <w:rsid w:val="00CF34B7"/>
    <w:rsid w:val="00CF57FF"/>
    <w:rsid w:val="00D002C8"/>
    <w:rsid w:val="00D01F04"/>
    <w:rsid w:val="00D03ED9"/>
    <w:rsid w:val="00D12826"/>
    <w:rsid w:val="00D12851"/>
    <w:rsid w:val="00D12C6F"/>
    <w:rsid w:val="00D12FAE"/>
    <w:rsid w:val="00D14D7B"/>
    <w:rsid w:val="00D16314"/>
    <w:rsid w:val="00D17E97"/>
    <w:rsid w:val="00D20176"/>
    <w:rsid w:val="00D2033E"/>
    <w:rsid w:val="00D20937"/>
    <w:rsid w:val="00D2472D"/>
    <w:rsid w:val="00D365B1"/>
    <w:rsid w:val="00D4190F"/>
    <w:rsid w:val="00D42691"/>
    <w:rsid w:val="00D43212"/>
    <w:rsid w:val="00D44648"/>
    <w:rsid w:val="00D503D3"/>
    <w:rsid w:val="00D50AFC"/>
    <w:rsid w:val="00D51AD5"/>
    <w:rsid w:val="00D51EBE"/>
    <w:rsid w:val="00D5360A"/>
    <w:rsid w:val="00D53BA8"/>
    <w:rsid w:val="00D543E8"/>
    <w:rsid w:val="00D57577"/>
    <w:rsid w:val="00D577F7"/>
    <w:rsid w:val="00D6670B"/>
    <w:rsid w:val="00D66753"/>
    <w:rsid w:val="00D67250"/>
    <w:rsid w:val="00D67DA4"/>
    <w:rsid w:val="00D821DD"/>
    <w:rsid w:val="00D83FD2"/>
    <w:rsid w:val="00D86959"/>
    <w:rsid w:val="00D97261"/>
    <w:rsid w:val="00DB0C4F"/>
    <w:rsid w:val="00DB15EA"/>
    <w:rsid w:val="00DB3CE5"/>
    <w:rsid w:val="00DB495B"/>
    <w:rsid w:val="00DB755D"/>
    <w:rsid w:val="00DC018D"/>
    <w:rsid w:val="00DC475A"/>
    <w:rsid w:val="00DC476F"/>
    <w:rsid w:val="00DC6773"/>
    <w:rsid w:val="00DC6A2B"/>
    <w:rsid w:val="00DD0BCE"/>
    <w:rsid w:val="00DD4050"/>
    <w:rsid w:val="00DD5E1E"/>
    <w:rsid w:val="00DE03A1"/>
    <w:rsid w:val="00DE5A5E"/>
    <w:rsid w:val="00DF11C4"/>
    <w:rsid w:val="00DF290D"/>
    <w:rsid w:val="00E02327"/>
    <w:rsid w:val="00E05551"/>
    <w:rsid w:val="00E1171D"/>
    <w:rsid w:val="00E12C9B"/>
    <w:rsid w:val="00E200AF"/>
    <w:rsid w:val="00E207C6"/>
    <w:rsid w:val="00E2305E"/>
    <w:rsid w:val="00E2352F"/>
    <w:rsid w:val="00E23838"/>
    <w:rsid w:val="00E25A6E"/>
    <w:rsid w:val="00E26E1C"/>
    <w:rsid w:val="00E30ED8"/>
    <w:rsid w:val="00E35D06"/>
    <w:rsid w:val="00E42AC1"/>
    <w:rsid w:val="00E4323D"/>
    <w:rsid w:val="00E43688"/>
    <w:rsid w:val="00E43E06"/>
    <w:rsid w:val="00E45A18"/>
    <w:rsid w:val="00E4698D"/>
    <w:rsid w:val="00E518A6"/>
    <w:rsid w:val="00E53D46"/>
    <w:rsid w:val="00E55A5F"/>
    <w:rsid w:val="00E574A3"/>
    <w:rsid w:val="00E61A2D"/>
    <w:rsid w:val="00E62276"/>
    <w:rsid w:val="00E65E0E"/>
    <w:rsid w:val="00E665AE"/>
    <w:rsid w:val="00E669FD"/>
    <w:rsid w:val="00E671FC"/>
    <w:rsid w:val="00E71A01"/>
    <w:rsid w:val="00E72384"/>
    <w:rsid w:val="00E74D2B"/>
    <w:rsid w:val="00E80636"/>
    <w:rsid w:val="00E8616F"/>
    <w:rsid w:val="00E87E4B"/>
    <w:rsid w:val="00E93918"/>
    <w:rsid w:val="00EA03FF"/>
    <w:rsid w:val="00EA2AD5"/>
    <w:rsid w:val="00EA751A"/>
    <w:rsid w:val="00EB45B3"/>
    <w:rsid w:val="00EB7168"/>
    <w:rsid w:val="00EC0A15"/>
    <w:rsid w:val="00EC1FBB"/>
    <w:rsid w:val="00EC2A1E"/>
    <w:rsid w:val="00EC3054"/>
    <w:rsid w:val="00EC6A59"/>
    <w:rsid w:val="00ED0163"/>
    <w:rsid w:val="00ED7852"/>
    <w:rsid w:val="00EE1D84"/>
    <w:rsid w:val="00EF0990"/>
    <w:rsid w:val="00EF1C16"/>
    <w:rsid w:val="00EF48C5"/>
    <w:rsid w:val="00EF58F0"/>
    <w:rsid w:val="00F06C41"/>
    <w:rsid w:val="00F1198E"/>
    <w:rsid w:val="00F1278D"/>
    <w:rsid w:val="00F20CFA"/>
    <w:rsid w:val="00F241EC"/>
    <w:rsid w:val="00F256D0"/>
    <w:rsid w:val="00F26001"/>
    <w:rsid w:val="00F305E7"/>
    <w:rsid w:val="00F31397"/>
    <w:rsid w:val="00F332AF"/>
    <w:rsid w:val="00F342C0"/>
    <w:rsid w:val="00F34830"/>
    <w:rsid w:val="00F3497C"/>
    <w:rsid w:val="00F407FA"/>
    <w:rsid w:val="00F457C0"/>
    <w:rsid w:val="00F47ACB"/>
    <w:rsid w:val="00F52EC6"/>
    <w:rsid w:val="00F6566F"/>
    <w:rsid w:val="00F67FB2"/>
    <w:rsid w:val="00F71FE5"/>
    <w:rsid w:val="00F74F11"/>
    <w:rsid w:val="00F765AC"/>
    <w:rsid w:val="00F76DC4"/>
    <w:rsid w:val="00F76F00"/>
    <w:rsid w:val="00F8205C"/>
    <w:rsid w:val="00F830DC"/>
    <w:rsid w:val="00F8569B"/>
    <w:rsid w:val="00F87778"/>
    <w:rsid w:val="00F87FA2"/>
    <w:rsid w:val="00F90307"/>
    <w:rsid w:val="00F94189"/>
    <w:rsid w:val="00F94C44"/>
    <w:rsid w:val="00F975ED"/>
    <w:rsid w:val="00FA62B9"/>
    <w:rsid w:val="00FB6BE2"/>
    <w:rsid w:val="00FC05B0"/>
    <w:rsid w:val="00FC352F"/>
    <w:rsid w:val="00FC5FA3"/>
    <w:rsid w:val="00FC653C"/>
    <w:rsid w:val="00FD033A"/>
    <w:rsid w:val="00FD5202"/>
    <w:rsid w:val="00FD71D4"/>
    <w:rsid w:val="00FD799E"/>
    <w:rsid w:val="00FE02E9"/>
    <w:rsid w:val="00FE5ADE"/>
    <w:rsid w:val="00FF1C92"/>
    <w:rsid w:val="00FF35B0"/>
    <w:rsid w:val="00FF51E6"/>
    <w:rsid w:val="00FF6CD5"/>
    <w:rsid w:val="00FF6CE0"/>
    <w:rsid w:val="00FF77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19831-F5B0-4999-89C4-0F70E55C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EB6"/>
    <w:pPr>
      <w:spacing w:after="200" w:line="276" w:lineRule="auto"/>
    </w:pPr>
    <w:rPr>
      <w:sz w:val="22"/>
      <w:szCs w:val="22"/>
      <w:lang w:eastAsia="en-US"/>
    </w:rPr>
  </w:style>
  <w:style w:type="paragraph" w:styleId="Balk1">
    <w:name w:val="heading 1"/>
    <w:basedOn w:val="Normal"/>
    <w:next w:val="Normal"/>
    <w:link w:val="Balk1Char"/>
    <w:uiPriority w:val="9"/>
    <w:qFormat/>
    <w:rsid w:val="005D762D"/>
    <w:pPr>
      <w:keepNext/>
      <w:spacing w:before="240" w:after="60" w:line="240" w:lineRule="auto"/>
      <w:ind w:firstLine="708"/>
      <w:jc w:val="both"/>
      <w:outlineLvl w:val="0"/>
    </w:pPr>
    <w:rPr>
      <w:rFonts w:ascii="Arial" w:eastAsia="Times New Roman" w:hAnsi="Arial" w:cs="Arial"/>
      <w:b/>
      <w:bCs/>
      <w:kern w:val="32"/>
      <w:sz w:val="32"/>
      <w:szCs w:val="32"/>
      <w:lang w:eastAsia="tr-TR"/>
    </w:rPr>
  </w:style>
  <w:style w:type="paragraph" w:styleId="Balk3">
    <w:name w:val="heading 3"/>
    <w:basedOn w:val="Normal"/>
    <w:next w:val="Normal"/>
    <w:link w:val="Balk3Char"/>
    <w:semiHidden/>
    <w:unhideWhenUsed/>
    <w:qFormat/>
    <w:rsid w:val="005D762D"/>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LİSTE PARAF,KODLAMA,ALT BAŞLIK"/>
    <w:basedOn w:val="Normal"/>
    <w:link w:val="ListeParagrafChar"/>
    <w:uiPriority w:val="34"/>
    <w:qFormat/>
    <w:rsid w:val="003C6EB6"/>
    <w:pPr>
      <w:ind w:left="720"/>
      <w:contextualSpacing/>
    </w:pPr>
    <w:rPr>
      <w:lang w:val="x-none"/>
    </w:rPr>
  </w:style>
  <w:style w:type="character" w:customStyle="1" w:styleId="ListeParagrafChar">
    <w:name w:val="Liste Paragraf Char"/>
    <w:aliases w:val="içindekiler vb Char,List Paragraph Char,LİSTE PARAF Char,KODLAMA Char,ALT BAŞLIK Char"/>
    <w:link w:val="ListeParagraf"/>
    <w:uiPriority w:val="99"/>
    <w:locked/>
    <w:rsid w:val="003C6EB6"/>
    <w:rPr>
      <w:rFonts w:ascii="Calibri" w:eastAsia="Calibri" w:hAnsi="Calibri" w:cs="Times New Roman"/>
      <w:lang w:val="x-none"/>
    </w:rPr>
  </w:style>
  <w:style w:type="paragraph" w:customStyle="1" w:styleId="Default">
    <w:name w:val="Default"/>
    <w:rsid w:val="001D665C"/>
    <w:pPr>
      <w:autoSpaceDE w:val="0"/>
      <w:autoSpaceDN w:val="0"/>
      <w:adjustRightInd w:val="0"/>
    </w:pPr>
    <w:rPr>
      <w:rFonts w:cs="Calibri"/>
      <w:color w:val="000000"/>
      <w:sz w:val="24"/>
      <w:szCs w:val="24"/>
      <w:lang w:eastAsia="en-US"/>
    </w:rPr>
  </w:style>
  <w:style w:type="paragraph" w:styleId="BalonMetni">
    <w:name w:val="Balloon Text"/>
    <w:basedOn w:val="Normal"/>
    <w:link w:val="BalonMetniChar"/>
    <w:uiPriority w:val="99"/>
    <w:semiHidden/>
    <w:unhideWhenUsed/>
    <w:rsid w:val="004345C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4345C1"/>
    <w:rPr>
      <w:rFonts w:ascii="Segoe UI" w:eastAsia="Calibri" w:hAnsi="Segoe UI" w:cs="Segoe UI"/>
      <w:sz w:val="18"/>
      <w:szCs w:val="18"/>
    </w:rPr>
  </w:style>
  <w:style w:type="paragraph" w:styleId="stbilgi">
    <w:name w:val="header"/>
    <w:basedOn w:val="Normal"/>
    <w:link w:val="stbilgiChar"/>
    <w:uiPriority w:val="99"/>
    <w:unhideWhenUsed/>
    <w:rsid w:val="00F305E7"/>
    <w:pPr>
      <w:tabs>
        <w:tab w:val="center" w:pos="4536"/>
        <w:tab w:val="right" w:pos="9072"/>
      </w:tabs>
      <w:spacing w:after="0" w:line="240" w:lineRule="auto"/>
    </w:pPr>
  </w:style>
  <w:style w:type="character" w:customStyle="1" w:styleId="stbilgiChar">
    <w:name w:val="Üstbilgi Char"/>
    <w:link w:val="stbilgi"/>
    <w:uiPriority w:val="99"/>
    <w:rsid w:val="00F305E7"/>
    <w:rPr>
      <w:rFonts w:ascii="Calibri" w:eastAsia="Calibri" w:hAnsi="Calibri" w:cs="Times New Roman"/>
    </w:rPr>
  </w:style>
  <w:style w:type="paragraph" w:styleId="Altbilgi">
    <w:name w:val="footer"/>
    <w:basedOn w:val="Normal"/>
    <w:link w:val="AltbilgiChar"/>
    <w:uiPriority w:val="99"/>
    <w:unhideWhenUsed/>
    <w:rsid w:val="00F305E7"/>
    <w:pPr>
      <w:tabs>
        <w:tab w:val="center" w:pos="4536"/>
        <w:tab w:val="right" w:pos="9072"/>
      </w:tabs>
      <w:spacing w:after="0" w:line="240" w:lineRule="auto"/>
    </w:pPr>
  </w:style>
  <w:style w:type="character" w:customStyle="1" w:styleId="AltbilgiChar">
    <w:name w:val="Altbilgi Char"/>
    <w:link w:val="Altbilgi"/>
    <w:uiPriority w:val="99"/>
    <w:rsid w:val="00F305E7"/>
    <w:rPr>
      <w:rFonts w:ascii="Calibri" w:eastAsia="Calibri" w:hAnsi="Calibri" w:cs="Times New Roman"/>
    </w:rPr>
  </w:style>
  <w:style w:type="paragraph" w:styleId="DipnotMetni">
    <w:name w:val="footnote text"/>
    <w:basedOn w:val="Normal"/>
    <w:link w:val="DipnotMetniChar"/>
    <w:uiPriority w:val="99"/>
    <w:semiHidden/>
    <w:unhideWhenUsed/>
    <w:rsid w:val="0031012F"/>
    <w:pPr>
      <w:spacing w:after="0" w:line="240" w:lineRule="auto"/>
    </w:pPr>
    <w:rPr>
      <w:sz w:val="20"/>
      <w:szCs w:val="20"/>
    </w:rPr>
  </w:style>
  <w:style w:type="character" w:customStyle="1" w:styleId="DipnotMetniChar">
    <w:name w:val="Dipnot Metni Char"/>
    <w:link w:val="DipnotMetni"/>
    <w:uiPriority w:val="99"/>
    <w:semiHidden/>
    <w:rsid w:val="0031012F"/>
    <w:rPr>
      <w:rFonts w:ascii="Calibri" w:eastAsia="Calibri" w:hAnsi="Calibri" w:cs="Times New Roman"/>
      <w:sz w:val="20"/>
      <w:szCs w:val="20"/>
    </w:rPr>
  </w:style>
  <w:style w:type="character" w:styleId="DipnotBavurusu">
    <w:name w:val="footnote reference"/>
    <w:uiPriority w:val="99"/>
    <w:semiHidden/>
    <w:unhideWhenUsed/>
    <w:rsid w:val="0031012F"/>
    <w:rPr>
      <w:vertAlign w:val="superscript"/>
    </w:rPr>
  </w:style>
  <w:style w:type="character" w:customStyle="1" w:styleId="A2">
    <w:name w:val="A2"/>
    <w:uiPriority w:val="99"/>
    <w:rsid w:val="000E14F9"/>
    <w:rPr>
      <w:color w:val="000000"/>
    </w:rPr>
  </w:style>
  <w:style w:type="character" w:customStyle="1" w:styleId="Balk1Char">
    <w:name w:val="Başlık 1 Char"/>
    <w:link w:val="Balk1"/>
    <w:uiPriority w:val="9"/>
    <w:rsid w:val="005D762D"/>
    <w:rPr>
      <w:rFonts w:ascii="Arial" w:eastAsia="Times New Roman" w:hAnsi="Arial" w:cs="Arial"/>
      <w:b/>
      <w:bCs/>
      <w:kern w:val="32"/>
      <w:sz w:val="32"/>
      <w:szCs w:val="32"/>
      <w:lang w:eastAsia="tr-TR"/>
    </w:rPr>
  </w:style>
  <w:style w:type="character" w:customStyle="1" w:styleId="Balk3Char">
    <w:name w:val="Başlık 3 Char"/>
    <w:link w:val="Balk3"/>
    <w:semiHidden/>
    <w:rsid w:val="005D762D"/>
    <w:rPr>
      <w:rFonts w:ascii="Arial" w:eastAsia="Times New Roman" w:hAnsi="Arial" w:cs="Arial"/>
      <w:b/>
      <w:bCs/>
      <w:sz w:val="26"/>
      <w:szCs w:val="26"/>
      <w:lang w:eastAsia="tr-TR"/>
    </w:rPr>
  </w:style>
  <w:style w:type="table" w:styleId="TabloKlavuzu">
    <w:name w:val="Table Grid"/>
    <w:basedOn w:val="NormalTablo"/>
    <w:uiPriority w:val="59"/>
    <w:rsid w:val="005D762D"/>
    <w:pPr>
      <w:jc w:val="both"/>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uiPriority w:val="99"/>
    <w:semiHidden/>
    <w:unhideWhenUsed/>
    <w:rsid w:val="005D762D"/>
    <w:rPr>
      <w:sz w:val="16"/>
      <w:szCs w:val="16"/>
    </w:rPr>
  </w:style>
  <w:style w:type="paragraph" w:styleId="AklamaMetni">
    <w:name w:val="annotation text"/>
    <w:basedOn w:val="Normal"/>
    <w:link w:val="AklamaMetniChar"/>
    <w:uiPriority w:val="99"/>
    <w:semiHidden/>
    <w:unhideWhenUsed/>
    <w:rsid w:val="005D762D"/>
    <w:pPr>
      <w:spacing w:line="240" w:lineRule="auto"/>
    </w:pPr>
    <w:rPr>
      <w:sz w:val="20"/>
      <w:szCs w:val="20"/>
    </w:rPr>
  </w:style>
  <w:style w:type="character" w:customStyle="1" w:styleId="AklamaMetniChar">
    <w:name w:val="Açıklama Metni Char"/>
    <w:link w:val="AklamaMetni"/>
    <w:uiPriority w:val="99"/>
    <w:semiHidden/>
    <w:rsid w:val="005D762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73444">
      <w:bodyDiv w:val="1"/>
      <w:marLeft w:val="0"/>
      <w:marRight w:val="0"/>
      <w:marTop w:val="0"/>
      <w:marBottom w:val="0"/>
      <w:divBdr>
        <w:top w:val="none" w:sz="0" w:space="0" w:color="auto"/>
        <w:left w:val="none" w:sz="0" w:space="0" w:color="auto"/>
        <w:bottom w:val="none" w:sz="0" w:space="0" w:color="auto"/>
        <w:right w:val="none" w:sz="0" w:space="0" w:color="auto"/>
      </w:divBdr>
    </w:div>
    <w:div w:id="391927193">
      <w:bodyDiv w:val="1"/>
      <w:marLeft w:val="0"/>
      <w:marRight w:val="0"/>
      <w:marTop w:val="0"/>
      <w:marBottom w:val="0"/>
      <w:divBdr>
        <w:top w:val="none" w:sz="0" w:space="0" w:color="auto"/>
        <w:left w:val="none" w:sz="0" w:space="0" w:color="auto"/>
        <w:bottom w:val="none" w:sz="0" w:space="0" w:color="auto"/>
        <w:right w:val="none" w:sz="0" w:space="0" w:color="auto"/>
      </w:divBdr>
    </w:div>
    <w:div w:id="442265269">
      <w:bodyDiv w:val="1"/>
      <w:marLeft w:val="0"/>
      <w:marRight w:val="0"/>
      <w:marTop w:val="0"/>
      <w:marBottom w:val="0"/>
      <w:divBdr>
        <w:top w:val="none" w:sz="0" w:space="0" w:color="auto"/>
        <w:left w:val="none" w:sz="0" w:space="0" w:color="auto"/>
        <w:bottom w:val="none" w:sz="0" w:space="0" w:color="auto"/>
        <w:right w:val="none" w:sz="0" w:space="0" w:color="auto"/>
      </w:divBdr>
    </w:div>
    <w:div w:id="561478389">
      <w:bodyDiv w:val="1"/>
      <w:marLeft w:val="0"/>
      <w:marRight w:val="0"/>
      <w:marTop w:val="0"/>
      <w:marBottom w:val="0"/>
      <w:divBdr>
        <w:top w:val="none" w:sz="0" w:space="0" w:color="auto"/>
        <w:left w:val="none" w:sz="0" w:space="0" w:color="auto"/>
        <w:bottom w:val="none" w:sz="0" w:space="0" w:color="auto"/>
        <w:right w:val="none" w:sz="0" w:space="0" w:color="auto"/>
      </w:divBdr>
    </w:div>
    <w:div w:id="569660071">
      <w:bodyDiv w:val="1"/>
      <w:marLeft w:val="0"/>
      <w:marRight w:val="0"/>
      <w:marTop w:val="0"/>
      <w:marBottom w:val="0"/>
      <w:divBdr>
        <w:top w:val="none" w:sz="0" w:space="0" w:color="auto"/>
        <w:left w:val="none" w:sz="0" w:space="0" w:color="auto"/>
        <w:bottom w:val="none" w:sz="0" w:space="0" w:color="auto"/>
        <w:right w:val="none" w:sz="0" w:space="0" w:color="auto"/>
      </w:divBdr>
    </w:div>
    <w:div w:id="674654700">
      <w:bodyDiv w:val="1"/>
      <w:marLeft w:val="0"/>
      <w:marRight w:val="0"/>
      <w:marTop w:val="0"/>
      <w:marBottom w:val="0"/>
      <w:divBdr>
        <w:top w:val="none" w:sz="0" w:space="0" w:color="auto"/>
        <w:left w:val="none" w:sz="0" w:space="0" w:color="auto"/>
        <w:bottom w:val="none" w:sz="0" w:space="0" w:color="auto"/>
        <w:right w:val="none" w:sz="0" w:space="0" w:color="auto"/>
      </w:divBdr>
    </w:div>
    <w:div w:id="1981418784">
      <w:bodyDiv w:val="1"/>
      <w:marLeft w:val="0"/>
      <w:marRight w:val="0"/>
      <w:marTop w:val="0"/>
      <w:marBottom w:val="0"/>
      <w:divBdr>
        <w:top w:val="none" w:sz="0" w:space="0" w:color="auto"/>
        <w:left w:val="none" w:sz="0" w:space="0" w:color="auto"/>
        <w:bottom w:val="none" w:sz="0" w:space="0" w:color="auto"/>
        <w:right w:val="none" w:sz="0" w:space="0" w:color="auto"/>
      </w:divBdr>
    </w:div>
    <w:div w:id="20935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520519-968D-4755-BE44-2EA77AB51FFA}"/>
</file>

<file path=customXml/itemProps2.xml><?xml version="1.0" encoding="utf-8"?>
<ds:datastoreItem xmlns:ds="http://schemas.openxmlformats.org/officeDocument/2006/customXml" ds:itemID="{74F72769-AFFF-4049-AB97-1BEE546F9FBC}"/>
</file>

<file path=customXml/itemProps3.xml><?xml version="1.0" encoding="utf-8"?>
<ds:datastoreItem xmlns:ds="http://schemas.openxmlformats.org/officeDocument/2006/customXml" ds:itemID="{21572B8E-BF9F-40F9-A281-4ADCE690A49F}"/>
</file>

<file path=customXml/itemProps4.xml><?xml version="1.0" encoding="utf-8"?>
<ds:datastoreItem xmlns:ds="http://schemas.openxmlformats.org/officeDocument/2006/customXml" ds:itemID="{C6B5EF58-E484-436E-AADB-826DCDB438F2}"/>
</file>

<file path=docProps/app.xml><?xml version="1.0" encoding="utf-8"?>
<Properties xmlns="http://schemas.openxmlformats.org/officeDocument/2006/extended-properties" xmlns:vt="http://schemas.openxmlformats.org/officeDocument/2006/docPropsVTypes">
  <Template>Normal</Template>
  <TotalTime>10</TotalTime>
  <Pages>26</Pages>
  <Words>10912</Words>
  <Characters>62204</Characters>
  <Application>Microsoft Office Word</Application>
  <DocSecurity>0</DocSecurity>
  <Lines>518</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Simay ERDOĞAN</dc:creator>
  <cp:keywords/>
  <cp:lastModifiedBy>Ali Emre MUTLU</cp:lastModifiedBy>
  <cp:revision>4</cp:revision>
  <cp:lastPrinted>2014-10-03T12:59:00Z</cp:lastPrinted>
  <dcterms:created xsi:type="dcterms:W3CDTF">2014-10-06T06:11:00Z</dcterms:created>
  <dcterms:modified xsi:type="dcterms:W3CDTF">2014-10-08T08:12:00Z</dcterms:modified>
</cp:coreProperties>
</file>